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74" w:rsidRPr="00A66A86" w:rsidRDefault="005F3F6C" w:rsidP="00A66A86">
      <w:pPr>
        <w:jc w:val="center"/>
        <w:rPr>
          <w:rFonts w:ascii="Arial" w:hAnsi="Arial" w:cs="Arial"/>
          <w:b/>
          <w:sz w:val="24"/>
        </w:rPr>
      </w:pPr>
      <w:r>
        <w:rPr>
          <w:rFonts w:ascii="Arial" w:hAnsi="Arial" w:cs="Arial"/>
          <w:b/>
          <w:sz w:val="24"/>
        </w:rPr>
        <w:t>201</w:t>
      </w:r>
      <w:r w:rsidR="00A66A86" w:rsidRPr="00A66A86">
        <w:rPr>
          <w:rFonts w:ascii="Arial" w:hAnsi="Arial" w:cs="Arial"/>
          <w:b/>
          <w:sz w:val="24"/>
        </w:rPr>
        <w:t>5</w:t>
      </w:r>
      <w:r>
        <w:rPr>
          <w:rFonts w:ascii="Arial" w:hAnsi="Arial" w:cs="Arial"/>
          <w:b/>
          <w:sz w:val="24"/>
        </w:rPr>
        <w:t>/16</w:t>
      </w:r>
      <w:r w:rsidR="00A66A86" w:rsidRPr="00A66A86">
        <w:rPr>
          <w:rFonts w:ascii="Arial" w:hAnsi="Arial" w:cs="Arial"/>
          <w:b/>
          <w:sz w:val="24"/>
        </w:rPr>
        <w:t xml:space="preserve"> Pupil Premium Spend</w:t>
      </w:r>
    </w:p>
    <w:p w:rsidR="00A66A86" w:rsidRPr="00A66A86" w:rsidRDefault="005F3F6C" w:rsidP="00A66A86">
      <w:pPr>
        <w:jc w:val="center"/>
        <w:rPr>
          <w:rFonts w:ascii="Arial" w:hAnsi="Arial" w:cs="Arial"/>
          <w:b/>
          <w:sz w:val="24"/>
        </w:rPr>
      </w:pPr>
      <w:r>
        <w:rPr>
          <w:rFonts w:ascii="Arial" w:hAnsi="Arial" w:cs="Arial"/>
          <w:b/>
          <w:sz w:val="24"/>
        </w:rPr>
        <w:t>Allocation: £66,0</w:t>
      </w:r>
      <w:r w:rsidR="00A66A86" w:rsidRPr="00A66A86">
        <w:rPr>
          <w:rFonts w:ascii="Arial" w:hAnsi="Arial" w:cs="Arial"/>
          <w:b/>
          <w:sz w:val="24"/>
        </w:rPr>
        <w:t>00</w:t>
      </w:r>
      <w:r w:rsidR="00F51429">
        <w:rPr>
          <w:rFonts w:ascii="Arial" w:hAnsi="Arial" w:cs="Arial"/>
          <w:b/>
          <w:sz w:val="24"/>
        </w:rPr>
        <w:t xml:space="preserve"> </w:t>
      </w:r>
      <w:r>
        <w:rPr>
          <w:rFonts w:ascii="Arial" w:hAnsi="Arial" w:cs="Arial"/>
          <w:b/>
          <w:sz w:val="24"/>
        </w:rPr>
        <w:t>(49</w:t>
      </w:r>
      <w:r w:rsidR="00F51429">
        <w:rPr>
          <w:rFonts w:ascii="Arial" w:hAnsi="Arial" w:cs="Arial"/>
          <w:b/>
          <w:sz w:val="24"/>
        </w:rPr>
        <w:t xml:space="preserve"> PP and 1 LAC)</w:t>
      </w:r>
    </w:p>
    <w:p w:rsidR="00A66A86" w:rsidRDefault="00E967DB" w:rsidP="00A66A86">
      <w:pPr>
        <w:rPr>
          <w:rFonts w:ascii="Arial" w:hAnsi="Arial" w:cs="Arial"/>
          <w:sz w:val="24"/>
        </w:rPr>
      </w:pPr>
      <w:r>
        <w:rPr>
          <w:rFonts w:ascii="Arial" w:hAnsi="Arial" w:cs="Arial"/>
          <w:sz w:val="24"/>
        </w:rPr>
        <w:t>New k</w:t>
      </w:r>
      <w:r w:rsidR="00A66A86">
        <w:rPr>
          <w:rFonts w:ascii="Arial" w:hAnsi="Arial" w:cs="Arial"/>
          <w:sz w:val="24"/>
        </w:rPr>
        <w:t>ey s</w:t>
      </w:r>
      <w:r w:rsidR="00A66A86" w:rsidRPr="00A66A86">
        <w:rPr>
          <w:rFonts w:ascii="Arial" w:hAnsi="Arial" w:cs="Arial"/>
          <w:sz w:val="24"/>
        </w:rPr>
        <w:t>pending themes:</w:t>
      </w:r>
    </w:p>
    <w:p w:rsidR="00A42675" w:rsidRDefault="00A42675" w:rsidP="00A66A86">
      <w:pPr>
        <w:pStyle w:val="ListParagraph"/>
        <w:numPr>
          <w:ilvl w:val="0"/>
          <w:numId w:val="2"/>
        </w:numPr>
        <w:rPr>
          <w:rFonts w:ascii="Arial" w:hAnsi="Arial" w:cs="Arial"/>
          <w:sz w:val="24"/>
        </w:rPr>
      </w:pPr>
      <w:r>
        <w:rPr>
          <w:rFonts w:ascii="Arial" w:hAnsi="Arial" w:cs="Arial"/>
          <w:sz w:val="24"/>
        </w:rPr>
        <w:t>Early Help Assessment Co-ordinator completes the new Welfare Team in school and will work with new families, vulnerable families and children not yet in school to build strong and lasting relationships</w:t>
      </w:r>
    </w:p>
    <w:p w:rsidR="00A66A86" w:rsidRDefault="00A66A86" w:rsidP="00A66A86">
      <w:pPr>
        <w:pStyle w:val="ListParagraph"/>
        <w:numPr>
          <w:ilvl w:val="0"/>
          <w:numId w:val="2"/>
        </w:numPr>
        <w:rPr>
          <w:rFonts w:ascii="Arial" w:hAnsi="Arial" w:cs="Arial"/>
          <w:sz w:val="24"/>
        </w:rPr>
      </w:pPr>
      <w:r>
        <w:rPr>
          <w:rFonts w:ascii="Arial" w:hAnsi="Arial" w:cs="Arial"/>
          <w:sz w:val="24"/>
        </w:rPr>
        <w:t xml:space="preserve">PSA to </w:t>
      </w:r>
      <w:r w:rsidR="00A42675">
        <w:rPr>
          <w:rFonts w:ascii="Arial" w:hAnsi="Arial" w:cs="Arial"/>
          <w:sz w:val="24"/>
        </w:rPr>
        <w:t xml:space="preserve">continue to </w:t>
      </w:r>
      <w:r>
        <w:rPr>
          <w:rFonts w:ascii="Arial" w:hAnsi="Arial" w:cs="Arial"/>
          <w:sz w:val="24"/>
        </w:rPr>
        <w:t>support vulnerable families and pupils</w:t>
      </w:r>
      <w:r w:rsidR="00A42675">
        <w:rPr>
          <w:rFonts w:ascii="Arial" w:hAnsi="Arial" w:cs="Arial"/>
          <w:sz w:val="24"/>
        </w:rPr>
        <w:t xml:space="preserve"> and extend training that is available to all</w:t>
      </w:r>
    </w:p>
    <w:p w:rsidR="00A66A86" w:rsidRDefault="00A42675" w:rsidP="00A66A86">
      <w:pPr>
        <w:pStyle w:val="ListParagraph"/>
        <w:numPr>
          <w:ilvl w:val="0"/>
          <w:numId w:val="2"/>
        </w:numPr>
        <w:rPr>
          <w:rFonts w:ascii="Arial" w:hAnsi="Arial" w:cs="Arial"/>
          <w:sz w:val="24"/>
        </w:rPr>
      </w:pPr>
      <w:r>
        <w:rPr>
          <w:rFonts w:ascii="Arial" w:hAnsi="Arial" w:cs="Arial"/>
          <w:sz w:val="24"/>
        </w:rPr>
        <w:t xml:space="preserve">Sharpen the use of </w:t>
      </w:r>
      <w:r w:rsidR="00A66A86">
        <w:rPr>
          <w:rFonts w:ascii="Arial" w:hAnsi="Arial" w:cs="Arial"/>
          <w:sz w:val="24"/>
        </w:rPr>
        <w:t xml:space="preserve">HLTA </w:t>
      </w:r>
      <w:r>
        <w:rPr>
          <w:rFonts w:ascii="Arial" w:hAnsi="Arial" w:cs="Arial"/>
          <w:sz w:val="24"/>
        </w:rPr>
        <w:t>provision to boost attainment across KS1 and</w:t>
      </w:r>
      <w:r w:rsidR="00A66A86">
        <w:rPr>
          <w:rFonts w:ascii="Arial" w:hAnsi="Arial" w:cs="Arial"/>
          <w:sz w:val="24"/>
        </w:rPr>
        <w:t xml:space="preserve"> UKS2</w:t>
      </w:r>
    </w:p>
    <w:p w:rsidR="00A66A86" w:rsidRDefault="00A66A86" w:rsidP="00A66A86">
      <w:pPr>
        <w:pStyle w:val="ListParagraph"/>
        <w:numPr>
          <w:ilvl w:val="0"/>
          <w:numId w:val="2"/>
        </w:numPr>
        <w:rPr>
          <w:rFonts w:ascii="Arial" w:hAnsi="Arial" w:cs="Arial"/>
          <w:sz w:val="24"/>
        </w:rPr>
      </w:pPr>
      <w:r>
        <w:rPr>
          <w:rFonts w:ascii="Arial" w:hAnsi="Arial" w:cs="Arial"/>
          <w:sz w:val="24"/>
        </w:rPr>
        <w:t xml:space="preserve">Personal Speech and Language Therapist Service (4.5 hours weekly) </w:t>
      </w:r>
      <w:r w:rsidR="00A42675">
        <w:rPr>
          <w:rFonts w:ascii="Arial" w:hAnsi="Arial" w:cs="Arial"/>
          <w:sz w:val="24"/>
        </w:rPr>
        <w:t>and provision for follow up of groups.  Ensure that groups are focused and appropriate and only change in consultation with the qualified SALT</w:t>
      </w:r>
    </w:p>
    <w:p w:rsidR="00A66A86" w:rsidRDefault="00A66A86" w:rsidP="00A66A86">
      <w:pPr>
        <w:pStyle w:val="ListParagraph"/>
        <w:numPr>
          <w:ilvl w:val="0"/>
          <w:numId w:val="2"/>
        </w:numPr>
        <w:rPr>
          <w:rFonts w:ascii="Arial" w:hAnsi="Arial" w:cs="Arial"/>
          <w:sz w:val="24"/>
        </w:rPr>
      </w:pPr>
      <w:r>
        <w:rPr>
          <w:rFonts w:ascii="Arial" w:hAnsi="Arial" w:cs="Arial"/>
          <w:sz w:val="24"/>
        </w:rPr>
        <w:t xml:space="preserve">Over-staffing in the EYFS </w:t>
      </w:r>
      <w:r w:rsidR="005847FA">
        <w:rPr>
          <w:rFonts w:ascii="Arial" w:hAnsi="Arial" w:cs="Arial"/>
          <w:sz w:val="24"/>
        </w:rPr>
        <w:t xml:space="preserve">and Y1 </w:t>
      </w:r>
      <w:r w:rsidR="00A42675">
        <w:rPr>
          <w:rFonts w:ascii="Arial" w:hAnsi="Arial" w:cs="Arial"/>
          <w:sz w:val="24"/>
        </w:rPr>
        <w:t>with 4</w:t>
      </w:r>
      <w:r>
        <w:rPr>
          <w:rFonts w:ascii="Arial" w:hAnsi="Arial" w:cs="Arial"/>
          <w:sz w:val="24"/>
        </w:rPr>
        <w:t xml:space="preserve"> smaller teaching classes</w:t>
      </w:r>
      <w:r w:rsidR="00A42675">
        <w:rPr>
          <w:rFonts w:ascii="Arial" w:hAnsi="Arial" w:cs="Arial"/>
          <w:sz w:val="24"/>
        </w:rPr>
        <w:t xml:space="preserve"> </w:t>
      </w:r>
    </w:p>
    <w:p w:rsidR="00E967DB" w:rsidRDefault="00A42675" w:rsidP="00E967DB">
      <w:pPr>
        <w:rPr>
          <w:rFonts w:ascii="Arial" w:hAnsi="Arial" w:cs="Arial"/>
          <w:sz w:val="24"/>
        </w:rPr>
      </w:pPr>
      <w:r w:rsidRPr="00A42675">
        <w:rPr>
          <w:rFonts w:ascii="Arial" w:hAnsi="Arial" w:cs="Arial"/>
          <w:sz w:val="24"/>
          <w:highlight w:val="yellow"/>
        </w:rPr>
        <w:t>Strategic Early Intervention Themes</w:t>
      </w:r>
    </w:p>
    <w:tbl>
      <w:tblPr>
        <w:tblStyle w:val="TableGrid"/>
        <w:tblW w:w="0" w:type="auto"/>
        <w:tblInd w:w="-885" w:type="dxa"/>
        <w:tblLook w:val="04A0" w:firstRow="1" w:lastRow="0" w:firstColumn="1" w:lastColumn="0" w:noHBand="0" w:noVBand="1"/>
      </w:tblPr>
      <w:tblGrid>
        <w:gridCol w:w="2302"/>
        <w:gridCol w:w="1417"/>
        <w:gridCol w:w="1417"/>
        <w:gridCol w:w="1417"/>
        <w:gridCol w:w="1417"/>
        <w:gridCol w:w="1417"/>
        <w:gridCol w:w="1418"/>
        <w:gridCol w:w="1418"/>
        <w:gridCol w:w="1418"/>
        <w:gridCol w:w="1418"/>
      </w:tblGrid>
      <w:tr w:rsidR="00E967DB" w:rsidTr="00E967DB">
        <w:tc>
          <w:tcPr>
            <w:tcW w:w="2302" w:type="dxa"/>
            <w:shd w:val="clear" w:color="auto" w:fill="DBE5F1" w:themeFill="accent1" w:themeFillTint="33"/>
          </w:tcPr>
          <w:p w:rsidR="00E967DB" w:rsidRDefault="00E967DB" w:rsidP="00E967DB">
            <w:pPr>
              <w:rPr>
                <w:rFonts w:ascii="Arial" w:hAnsi="Arial" w:cs="Arial"/>
                <w:sz w:val="24"/>
              </w:rPr>
            </w:pPr>
            <w:r>
              <w:rPr>
                <w:rFonts w:ascii="Arial" w:hAnsi="Arial" w:cs="Arial"/>
                <w:sz w:val="24"/>
              </w:rPr>
              <w:t>Initiative</w:t>
            </w:r>
          </w:p>
        </w:tc>
        <w:tc>
          <w:tcPr>
            <w:tcW w:w="1417" w:type="dxa"/>
            <w:shd w:val="clear" w:color="auto" w:fill="DBE5F1" w:themeFill="accent1" w:themeFillTint="33"/>
          </w:tcPr>
          <w:p w:rsidR="00E967DB" w:rsidRDefault="00E967DB" w:rsidP="00E967DB">
            <w:pPr>
              <w:jc w:val="center"/>
              <w:rPr>
                <w:rFonts w:ascii="Arial" w:hAnsi="Arial" w:cs="Arial"/>
                <w:sz w:val="24"/>
              </w:rPr>
            </w:pPr>
            <w:r>
              <w:rPr>
                <w:rFonts w:ascii="Arial" w:hAnsi="Arial" w:cs="Arial"/>
                <w:sz w:val="24"/>
              </w:rPr>
              <w:t>F1</w:t>
            </w:r>
          </w:p>
        </w:tc>
        <w:tc>
          <w:tcPr>
            <w:tcW w:w="1417" w:type="dxa"/>
            <w:shd w:val="clear" w:color="auto" w:fill="DBE5F1" w:themeFill="accent1" w:themeFillTint="33"/>
          </w:tcPr>
          <w:p w:rsidR="00E967DB" w:rsidRDefault="00E967DB" w:rsidP="00E967DB">
            <w:pPr>
              <w:jc w:val="center"/>
              <w:rPr>
                <w:rFonts w:ascii="Arial" w:hAnsi="Arial" w:cs="Arial"/>
                <w:sz w:val="24"/>
              </w:rPr>
            </w:pPr>
            <w:r>
              <w:rPr>
                <w:rFonts w:ascii="Arial" w:hAnsi="Arial" w:cs="Arial"/>
                <w:sz w:val="24"/>
              </w:rPr>
              <w:t>F2</w:t>
            </w:r>
          </w:p>
        </w:tc>
        <w:tc>
          <w:tcPr>
            <w:tcW w:w="1417" w:type="dxa"/>
            <w:shd w:val="clear" w:color="auto" w:fill="DBE5F1" w:themeFill="accent1" w:themeFillTint="33"/>
          </w:tcPr>
          <w:p w:rsidR="00E967DB" w:rsidRDefault="00E967DB" w:rsidP="00E967DB">
            <w:pPr>
              <w:jc w:val="center"/>
              <w:rPr>
                <w:rFonts w:ascii="Arial" w:hAnsi="Arial" w:cs="Arial"/>
                <w:sz w:val="24"/>
              </w:rPr>
            </w:pPr>
            <w:r>
              <w:rPr>
                <w:rFonts w:ascii="Arial" w:hAnsi="Arial" w:cs="Arial"/>
                <w:sz w:val="24"/>
              </w:rPr>
              <w:t>Y1</w:t>
            </w:r>
          </w:p>
        </w:tc>
        <w:tc>
          <w:tcPr>
            <w:tcW w:w="1417" w:type="dxa"/>
            <w:shd w:val="clear" w:color="auto" w:fill="DBE5F1" w:themeFill="accent1" w:themeFillTint="33"/>
          </w:tcPr>
          <w:p w:rsidR="00E967DB" w:rsidRDefault="00E967DB" w:rsidP="00E967DB">
            <w:pPr>
              <w:jc w:val="center"/>
              <w:rPr>
                <w:rFonts w:ascii="Arial" w:hAnsi="Arial" w:cs="Arial"/>
                <w:sz w:val="24"/>
              </w:rPr>
            </w:pPr>
            <w:r>
              <w:rPr>
                <w:rFonts w:ascii="Arial" w:hAnsi="Arial" w:cs="Arial"/>
                <w:sz w:val="24"/>
              </w:rPr>
              <w:t>Y2</w:t>
            </w:r>
          </w:p>
        </w:tc>
        <w:tc>
          <w:tcPr>
            <w:tcW w:w="1417" w:type="dxa"/>
            <w:shd w:val="clear" w:color="auto" w:fill="DBE5F1" w:themeFill="accent1" w:themeFillTint="33"/>
          </w:tcPr>
          <w:p w:rsidR="00E967DB" w:rsidRDefault="00E967DB" w:rsidP="00E967DB">
            <w:pPr>
              <w:jc w:val="center"/>
              <w:rPr>
                <w:rFonts w:ascii="Arial" w:hAnsi="Arial" w:cs="Arial"/>
                <w:sz w:val="24"/>
              </w:rPr>
            </w:pPr>
            <w:r>
              <w:rPr>
                <w:rFonts w:ascii="Arial" w:hAnsi="Arial" w:cs="Arial"/>
                <w:sz w:val="24"/>
              </w:rPr>
              <w:t>Y3</w:t>
            </w:r>
          </w:p>
        </w:tc>
        <w:tc>
          <w:tcPr>
            <w:tcW w:w="1418" w:type="dxa"/>
            <w:shd w:val="clear" w:color="auto" w:fill="DBE5F1" w:themeFill="accent1" w:themeFillTint="33"/>
          </w:tcPr>
          <w:p w:rsidR="00E967DB" w:rsidRDefault="00E967DB" w:rsidP="00E967DB">
            <w:pPr>
              <w:jc w:val="center"/>
              <w:rPr>
                <w:rFonts w:ascii="Arial" w:hAnsi="Arial" w:cs="Arial"/>
                <w:sz w:val="24"/>
              </w:rPr>
            </w:pPr>
            <w:r>
              <w:rPr>
                <w:rFonts w:ascii="Arial" w:hAnsi="Arial" w:cs="Arial"/>
                <w:sz w:val="24"/>
              </w:rPr>
              <w:t>Y4</w:t>
            </w:r>
          </w:p>
        </w:tc>
        <w:tc>
          <w:tcPr>
            <w:tcW w:w="1418" w:type="dxa"/>
            <w:shd w:val="clear" w:color="auto" w:fill="DBE5F1" w:themeFill="accent1" w:themeFillTint="33"/>
          </w:tcPr>
          <w:p w:rsidR="00E967DB" w:rsidRDefault="00E967DB" w:rsidP="00E967DB">
            <w:pPr>
              <w:jc w:val="center"/>
              <w:rPr>
                <w:rFonts w:ascii="Arial" w:hAnsi="Arial" w:cs="Arial"/>
                <w:sz w:val="24"/>
              </w:rPr>
            </w:pPr>
            <w:r>
              <w:rPr>
                <w:rFonts w:ascii="Arial" w:hAnsi="Arial" w:cs="Arial"/>
                <w:sz w:val="24"/>
              </w:rPr>
              <w:t>Y5</w:t>
            </w:r>
          </w:p>
        </w:tc>
        <w:tc>
          <w:tcPr>
            <w:tcW w:w="1418" w:type="dxa"/>
            <w:shd w:val="clear" w:color="auto" w:fill="DBE5F1" w:themeFill="accent1" w:themeFillTint="33"/>
          </w:tcPr>
          <w:p w:rsidR="00E967DB" w:rsidRDefault="00E967DB" w:rsidP="00E967DB">
            <w:pPr>
              <w:jc w:val="center"/>
              <w:rPr>
                <w:rFonts w:ascii="Arial" w:hAnsi="Arial" w:cs="Arial"/>
                <w:sz w:val="24"/>
              </w:rPr>
            </w:pPr>
            <w:r>
              <w:rPr>
                <w:rFonts w:ascii="Arial" w:hAnsi="Arial" w:cs="Arial"/>
                <w:sz w:val="24"/>
              </w:rPr>
              <w:t>Y6</w:t>
            </w:r>
          </w:p>
        </w:tc>
        <w:tc>
          <w:tcPr>
            <w:tcW w:w="1418" w:type="dxa"/>
            <w:shd w:val="clear" w:color="auto" w:fill="DBE5F1" w:themeFill="accent1" w:themeFillTint="33"/>
          </w:tcPr>
          <w:p w:rsidR="00E967DB" w:rsidRDefault="00E967DB" w:rsidP="00E967DB">
            <w:pPr>
              <w:jc w:val="center"/>
              <w:rPr>
                <w:rFonts w:ascii="Arial" w:hAnsi="Arial" w:cs="Arial"/>
                <w:sz w:val="24"/>
              </w:rPr>
            </w:pPr>
            <w:r>
              <w:rPr>
                <w:rFonts w:ascii="Arial" w:hAnsi="Arial" w:cs="Arial"/>
                <w:sz w:val="24"/>
              </w:rPr>
              <w:t>Total</w:t>
            </w:r>
          </w:p>
        </w:tc>
      </w:tr>
      <w:tr w:rsidR="00E967DB" w:rsidTr="00E967DB">
        <w:tc>
          <w:tcPr>
            <w:tcW w:w="2302" w:type="dxa"/>
          </w:tcPr>
          <w:p w:rsidR="00E967DB" w:rsidRPr="00E967DB" w:rsidRDefault="00E967DB" w:rsidP="00E967DB">
            <w:pPr>
              <w:rPr>
                <w:rFonts w:ascii="Arial" w:hAnsi="Arial" w:cs="Arial"/>
                <w:sz w:val="24"/>
                <w:highlight w:val="yellow"/>
              </w:rPr>
            </w:pPr>
            <w:r w:rsidRPr="00E967DB">
              <w:rPr>
                <w:rFonts w:ascii="Arial" w:hAnsi="Arial" w:cs="Arial"/>
                <w:sz w:val="24"/>
                <w:highlight w:val="yellow"/>
              </w:rPr>
              <w:t>Ready, Steady, Play</w:t>
            </w:r>
          </w:p>
        </w:tc>
        <w:tc>
          <w:tcPr>
            <w:tcW w:w="1417" w:type="dxa"/>
          </w:tcPr>
          <w:p w:rsidR="00E967DB" w:rsidRDefault="00A42675" w:rsidP="00E967DB">
            <w:pPr>
              <w:jc w:val="center"/>
              <w:rPr>
                <w:rFonts w:ascii="Arial" w:hAnsi="Arial" w:cs="Arial"/>
                <w:sz w:val="24"/>
              </w:rPr>
            </w:pPr>
            <w:r>
              <w:rPr>
                <w:rFonts w:ascii="Arial" w:hAnsi="Arial" w:cs="Arial"/>
                <w:sz w:val="24"/>
              </w:rPr>
              <w:t>£17</w:t>
            </w:r>
            <w:r w:rsidR="00E967DB">
              <w:rPr>
                <w:rFonts w:ascii="Arial" w:hAnsi="Arial" w:cs="Arial"/>
                <w:sz w:val="24"/>
              </w:rPr>
              <w:t>00</w:t>
            </w:r>
          </w:p>
        </w:tc>
        <w:tc>
          <w:tcPr>
            <w:tcW w:w="1417" w:type="dxa"/>
          </w:tcPr>
          <w:p w:rsidR="00E967DB" w:rsidRDefault="00E967DB" w:rsidP="00E967DB">
            <w:pPr>
              <w:jc w:val="center"/>
              <w:rPr>
                <w:rFonts w:ascii="Arial" w:hAnsi="Arial" w:cs="Arial"/>
                <w:sz w:val="24"/>
              </w:rPr>
            </w:pPr>
            <w:r>
              <w:rPr>
                <w:rFonts w:ascii="Arial" w:hAnsi="Arial" w:cs="Arial"/>
                <w:sz w:val="24"/>
              </w:rPr>
              <w:t>£800</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tcPr>
          <w:p w:rsidR="00E967DB" w:rsidRDefault="00A42675" w:rsidP="00E967DB">
            <w:pPr>
              <w:jc w:val="center"/>
              <w:rPr>
                <w:rFonts w:ascii="Arial" w:hAnsi="Arial" w:cs="Arial"/>
                <w:sz w:val="24"/>
              </w:rPr>
            </w:pPr>
            <w:r>
              <w:rPr>
                <w:rFonts w:ascii="Arial" w:hAnsi="Arial" w:cs="Arial"/>
                <w:sz w:val="24"/>
              </w:rPr>
              <w:t>£2,5</w:t>
            </w:r>
            <w:r w:rsidR="00E967DB">
              <w:rPr>
                <w:rFonts w:ascii="Arial" w:hAnsi="Arial" w:cs="Arial"/>
                <w:sz w:val="24"/>
              </w:rPr>
              <w:t>00</w:t>
            </w:r>
          </w:p>
        </w:tc>
      </w:tr>
      <w:tr w:rsidR="00E967DB" w:rsidTr="00E967DB">
        <w:tc>
          <w:tcPr>
            <w:tcW w:w="2302" w:type="dxa"/>
          </w:tcPr>
          <w:p w:rsidR="00E967DB" w:rsidRPr="00E967DB" w:rsidRDefault="00E967DB" w:rsidP="00E967DB">
            <w:pPr>
              <w:rPr>
                <w:rFonts w:ascii="Arial" w:hAnsi="Arial" w:cs="Arial"/>
                <w:sz w:val="24"/>
                <w:highlight w:val="yellow"/>
              </w:rPr>
            </w:pPr>
            <w:r w:rsidRPr="00E967DB">
              <w:rPr>
                <w:rFonts w:ascii="Arial" w:hAnsi="Arial" w:cs="Arial"/>
                <w:sz w:val="24"/>
                <w:highlight w:val="yellow"/>
              </w:rPr>
              <w:t>Parental Support</w:t>
            </w:r>
          </w:p>
        </w:tc>
        <w:tc>
          <w:tcPr>
            <w:tcW w:w="11339" w:type="dxa"/>
            <w:gridSpan w:val="8"/>
          </w:tcPr>
          <w:p w:rsidR="00E967DB" w:rsidRDefault="00E967DB" w:rsidP="00E967DB">
            <w:pPr>
              <w:jc w:val="center"/>
              <w:rPr>
                <w:rFonts w:ascii="Arial" w:hAnsi="Arial" w:cs="Arial"/>
                <w:sz w:val="24"/>
              </w:rPr>
            </w:pPr>
            <w:r>
              <w:rPr>
                <w:rFonts w:ascii="Arial" w:hAnsi="Arial" w:cs="Arial"/>
                <w:sz w:val="24"/>
              </w:rPr>
              <w:t>Shared but heavy focus on lower school</w:t>
            </w:r>
          </w:p>
        </w:tc>
        <w:tc>
          <w:tcPr>
            <w:tcW w:w="1418" w:type="dxa"/>
          </w:tcPr>
          <w:p w:rsidR="00E967DB" w:rsidRDefault="00A42675" w:rsidP="00E967DB">
            <w:pPr>
              <w:jc w:val="center"/>
              <w:rPr>
                <w:rFonts w:ascii="Arial" w:hAnsi="Arial" w:cs="Arial"/>
                <w:sz w:val="24"/>
              </w:rPr>
            </w:pPr>
            <w:r>
              <w:rPr>
                <w:rFonts w:ascii="Arial" w:hAnsi="Arial" w:cs="Arial"/>
                <w:sz w:val="24"/>
              </w:rPr>
              <w:t>£7</w:t>
            </w:r>
            <w:r w:rsidR="00E967DB">
              <w:rPr>
                <w:rFonts w:ascii="Arial" w:hAnsi="Arial" w:cs="Arial"/>
                <w:sz w:val="24"/>
              </w:rPr>
              <w:t>,500</w:t>
            </w:r>
          </w:p>
        </w:tc>
      </w:tr>
      <w:tr w:rsidR="00E967DB" w:rsidTr="00A42675">
        <w:tc>
          <w:tcPr>
            <w:tcW w:w="2302" w:type="dxa"/>
          </w:tcPr>
          <w:p w:rsidR="00E967DB" w:rsidRPr="003D52DB" w:rsidRDefault="00E967DB" w:rsidP="00E967DB">
            <w:pPr>
              <w:rPr>
                <w:rFonts w:ascii="Arial" w:hAnsi="Arial" w:cs="Arial"/>
                <w:sz w:val="24"/>
                <w:highlight w:val="yellow"/>
              </w:rPr>
            </w:pPr>
            <w:r w:rsidRPr="003D52DB">
              <w:rPr>
                <w:rFonts w:ascii="Arial" w:hAnsi="Arial" w:cs="Arial"/>
                <w:sz w:val="24"/>
                <w:highlight w:val="yellow"/>
              </w:rPr>
              <w:t>TA Support- Grade 3 (Reading and Phonics)</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tcPr>
          <w:p w:rsidR="00E967DB" w:rsidRDefault="003D52DB" w:rsidP="00E967DB">
            <w:pPr>
              <w:jc w:val="center"/>
              <w:rPr>
                <w:rFonts w:ascii="Arial" w:hAnsi="Arial" w:cs="Arial"/>
                <w:sz w:val="24"/>
              </w:rPr>
            </w:pPr>
            <w:r>
              <w:rPr>
                <w:rFonts w:ascii="Arial" w:hAnsi="Arial" w:cs="Arial"/>
                <w:sz w:val="24"/>
              </w:rPr>
              <w:t>£3</w:t>
            </w:r>
            <w:r w:rsidR="00A42675">
              <w:rPr>
                <w:rFonts w:ascii="Arial" w:hAnsi="Arial" w:cs="Arial"/>
                <w:sz w:val="24"/>
              </w:rPr>
              <w:t>,0</w:t>
            </w:r>
            <w:r w:rsidR="00E967DB">
              <w:rPr>
                <w:rFonts w:ascii="Arial" w:hAnsi="Arial" w:cs="Arial"/>
                <w:sz w:val="24"/>
              </w:rPr>
              <w:t>00</w:t>
            </w:r>
          </w:p>
        </w:tc>
        <w:tc>
          <w:tcPr>
            <w:tcW w:w="1417" w:type="dxa"/>
            <w:shd w:val="clear" w:color="auto" w:fill="FFFFFF" w:themeFill="background1"/>
          </w:tcPr>
          <w:p w:rsidR="00E967DB" w:rsidRDefault="003D52DB" w:rsidP="00E967DB">
            <w:pPr>
              <w:jc w:val="center"/>
              <w:rPr>
                <w:rFonts w:ascii="Arial" w:hAnsi="Arial" w:cs="Arial"/>
                <w:sz w:val="24"/>
              </w:rPr>
            </w:pPr>
            <w:r>
              <w:rPr>
                <w:rFonts w:ascii="Arial" w:hAnsi="Arial" w:cs="Arial"/>
                <w:sz w:val="24"/>
              </w:rPr>
              <w:t>£1</w:t>
            </w:r>
            <w:r w:rsidR="00A42675">
              <w:rPr>
                <w:rFonts w:ascii="Arial" w:hAnsi="Arial" w:cs="Arial"/>
                <w:sz w:val="24"/>
              </w:rPr>
              <w:t>,000</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tcPr>
          <w:p w:rsidR="00E967DB" w:rsidRDefault="003D52DB" w:rsidP="00E967DB">
            <w:pPr>
              <w:jc w:val="center"/>
              <w:rPr>
                <w:rFonts w:ascii="Arial" w:hAnsi="Arial" w:cs="Arial"/>
                <w:sz w:val="24"/>
              </w:rPr>
            </w:pPr>
            <w:r>
              <w:rPr>
                <w:rFonts w:ascii="Arial" w:hAnsi="Arial" w:cs="Arial"/>
                <w:sz w:val="24"/>
              </w:rPr>
              <w:t>£4</w:t>
            </w:r>
            <w:r w:rsidR="00A42675">
              <w:rPr>
                <w:rFonts w:ascii="Arial" w:hAnsi="Arial" w:cs="Arial"/>
                <w:sz w:val="24"/>
              </w:rPr>
              <w:t>,0</w:t>
            </w:r>
            <w:r w:rsidR="00E967DB">
              <w:rPr>
                <w:rFonts w:ascii="Arial" w:hAnsi="Arial" w:cs="Arial"/>
                <w:sz w:val="24"/>
              </w:rPr>
              <w:t>00</w:t>
            </w:r>
          </w:p>
        </w:tc>
      </w:tr>
      <w:tr w:rsidR="00E967DB" w:rsidTr="00A42675">
        <w:tc>
          <w:tcPr>
            <w:tcW w:w="2302" w:type="dxa"/>
          </w:tcPr>
          <w:p w:rsidR="00E967DB" w:rsidRPr="003D52DB" w:rsidRDefault="00E967DB" w:rsidP="00E967DB">
            <w:pPr>
              <w:rPr>
                <w:rFonts w:ascii="Arial" w:hAnsi="Arial" w:cs="Arial"/>
                <w:sz w:val="24"/>
                <w:highlight w:val="yellow"/>
              </w:rPr>
            </w:pPr>
            <w:r w:rsidRPr="003D52DB">
              <w:rPr>
                <w:rFonts w:ascii="Arial" w:hAnsi="Arial" w:cs="Arial"/>
                <w:sz w:val="24"/>
                <w:highlight w:val="yellow"/>
              </w:rPr>
              <w:t>HLTA Booster Costs</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tcPr>
          <w:p w:rsidR="00E967DB" w:rsidRDefault="003D52DB" w:rsidP="00E967DB">
            <w:pPr>
              <w:jc w:val="center"/>
              <w:rPr>
                <w:rFonts w:ascii="Arial" w:hAnsi="Arial" w:cs="Arial"/>
                <w:sz w:val="24"/>
              </w:rPr>
            </w:pPr>
            <w:r>
              <w:rPr>
                <w:rFonts w:ascii="Arial" w:hAnsi="Arial" w:cs="Arial"/>
                <w:sz w:val="24"/>
              </w:rPr>
              <w:t>£5,2</w:t>
            </w:r>
            <w:r w:rsidR="00E967DB">
              <w:rPr>
                <w:rFonts w:ascii="Arial" w:hAnsi="Arial" w:cs="Arial"/>
                <w:sz w:val="24"/>
              </w:rPr>
              <w:t>00</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tcPr>
          <w:p w:rsidR="00E967DB" w:rsidRDefault="003D52DB" w:rsidP="00E967DB">
            <w:pPr>
              <w:jc w:val="center"/>
              <w:rPr>
                <w:rFonts w:ascii="Arial" w:hAnsi="Arial" w:cs="Arial"/>
                <w:sz w:val="24"/>
              </w:rPr>
            </w:pPr>
            <w:r>
              <w:rPr>
                <w:rFonts w:ascii="Arial" w:hAnsi="Arial" w:cs="Arial"/>
                <w:sz w:val="24"/>
              </w:rPr>
              <w:t>£5,2</w:t>
            </w:r>
            <w:r w:rsidR="00E967DB">
              <w:rPr>
                <w:rFonts w:ascii="Arial" w:hAnsi="Arial" w:cs="Arial"/>
                <w:sz w:val="24"/>
              </w:rPr>
              <w:t>00</w:t>
            </w:r>
          </w:p>
        </w:tc>
        <w:tc>
          <w:tcPr>
            <w:tcW w:w="1418" w:type="dxa"/>
          </w:tcPr>
          <w:p w:rsidR="00E967DB" w:rsidRDefault="003D52DB" w:rsidP="00E967DB">
            <w:pPr>
              <w:jc w:val="center"/>
              <w:rPr>
                <w:rFonts w:ascii="Arial" w:hAnsi="Arial" w:cs="Arial"/>
                <w:sz w:val="24"/>
              </w:rPr>
            </w:pPr>
            <w:r>
              <w:rPr>
                <w:rFonts w:ascii="Arial" w:hAnsi="Arial" w:cs="Arial"/>
                <w:sz w:val="24"/>
              </w:rPr>
              <w:t>£10,4</w:t>
            </w:r>
            <w:r w:rsidR="00E967DB">
              <w:rPr>
                <w:rFonts w:ascii="Arial" w:hAnsi="Arial" w:cs="Arial"/>
                <w:sz w:val="24"/>
              </w:rPr>
              <w:t>00</w:t>
            </w:r>
          </w:p>
        </w:tc>
      </w:tr>
      <w:tr w:rsidR="00A42675" w:rsidTr="0031123F">
        <w:tc>
          <w:tcPr>
            <w:tcW w:w="2302" w:type="dxa"/>
          </w:tcPr>
          <w:p w:rsidR="00A42675" w:rsidRPr="003D52DB" w:rsidRDefault="00A42675" w:rsidP="00E967DB">
            <w:pPr>
              <w:rPr>
                <w:rFonts w:ascii="Arial" w:hAnsi="Arial" w:cs="Arial"/>
                <w:sz w:val="24"/>
                <w:highlight w:val="yellow"/>
              </w:rPr>
            </w:pPr>
            <w:r w:rsidRPr="003D52DB">
              <w:rPr>
                <w:rFonts w:ascii="Arial" w:hAnsi="Arial" w:cs="Arial"/>
                <w:sz w:val="24"/>
                <w:highlight w:val="yellow"/>
              </w:rPr>
              <w:t>HLTA Emotional Groups and Play Therapy</w:t>
            </w:r>
          </w:p>
        </w:tc>
        <w:tc>
          <w:tcPr>
            <w:tcW w:w="11339" w:type="dxa"/>
            <w:gridSpan w:val="8"/>
            <w:shd w:val="clear" w:color="auto" w:fill="FFFFFF" w:themeFill="background1"/>
          </w:tcPr>
          <w:p w:rsidR="00A42675" w:rsidRDefault="00A42675" w:rsidP="00A42675">
            <w:pPr>
              <w:jc w:val="center"/>
              <w:rPr>
                <w:rFonts w:ascii="Arial" w:hAnsi="Arial" w:cs="Arial"/>
                <w:sz w:val="24"/>
              </w:rPr>
            </w:pPr>
            <w:r>
              <w:rPr>
                <w:rFonts w:ascii="Arial" w:hAnsi="Arial" w:cs="Arial"/>
                <w:sz w:val="24"/>
              </w:rPr>
              <w:t>Shared but heavy focus on lower school</w:t>
            </w:r>
          </w:p>
          <w:p w:rsidR="00A42675" w:rsidRDefault="00A42675" w:rsidP="00E967DB">
            <w:pPr>
              <w:jc w:val="center"/>
              <w:rPr>
                <w:rFonts w:ascii="Arial" w:hAnsi="Arial" w:cs="Arial"/>
                <w:sz w:val="24"/>
              </w:rPr>
            </w:pPr>
          </w:p>
        </w:tc>
        <w:tc>
          <w:tcPr>
            <w:tcW w:w="1418" w:type="dxa"/>
          </w:tcPr>
          <w:p w:rsidR="00A42675" w:rsidRDefault="00A42675" w:rsidP="00E967DB">
            <w:pPr>
              <w:jc w:val="center"/>
              <w:rPr>
                <w:rFonts w:ascii="Arial" w:hAnsi="Arial" w:cs="Arial"/>
                <w:sz w:val="24"/>
              </w:rPr>
            </w:pPr>
            <w:r>
              <w:rPr>
                <w:rFonts w:ascii="Arial" w:hAnsi="Arial" w:cs="Arial"/>
                <w:sz w:val="24"/>
              </w:rPr>
              <w:t>£3,000</w:t>
            </w:r>
          </w:p>
        </w:tc>
      </w:tr>
      <w:tr w:rsidR="00E967DB" w:rsidTr="00E967DB">
        <w:tc>
          <w:tcPr>
            <w:tcW w:w="2302" w:type="dxa"/>
          </w:tcPr>
          <w:p w:rsidR="00E967DB" w:rsidRDefault="00E967DB" w:rsidP="00E967DB">
            <w:pPr>
              <w:rPr>
                <w:rFonts w:ascii="Arial" w:hAnsi="Arial" w:cs="Arial"/>
                <w:sz w:val="24"/>
              </w:rPr>
            </w:pPr>
            <w:r>
              <w:rPr>
                <w:rFonts w:ascii="Arial" w:hAnsi="Arial" w:cs="Arial"/>
                <w:sz w:val="24"/>
              </w:rPr>
              <w:t>1:1 Teaching and small group boosters</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tcPr>
          <w:p w:rsidR="00E967DB" w:rsidRDefault="00E967DB" w:rsidP="00E967DB">
            <w:pPr>
              <w:jc w:val="center"/>
              <w:rPr>
                <w:rFonts w:ascii="Arial" w:hAnsi="Arial" w:cs="Arial"/>
                <w:sz w:val="24"/>
              </w:rPr>
            </w:pPr>
            <w:r>
              <w:rPr>
                <w:rFonts w:ascii="Arial" w:hAnsi="Arial" w:cs="Arial"/>
                <w:sz w:val="24"/>
              </w:rPr>
              <w:t>£1000</w:t>
            </w:r>
          </w:p>
        </w:tc>
        <w:tc>
          <w:tcPr>
            <w:tcW w:w="1418" w:type="dxa"/>
          </w:tcPr>
          <w:p w:rsidR="00E967DB" w:rsidRDefault="00E967DB" w:rsidP="00E967DB">
            <w:pPr>
              <w:jc w:val="center"/>
              <w:rPr>
                <w:rFonts w:ascii="Arial" w:hAnsi="Arial" w:cs="Arial"/>
                <w:sz w:val="24"/>
              </w:rPr>
            </w:pPr>
            <w:r>
              <w:rPr>
                <w:rFonts w:ascii="Arial" w:hAnsi="Arial" w:cs="Arial"/>
                <w:sz w:val="24"/>
              </w:rPr>
              <w:t>£4500</w:t>
            </w:r>
          </w:p>
        </w:tc>
        <w:tc>
          <w:tcPr>
            <w:tcW w:w="1418" w:type="dxa"/>
          </w:tcPr>
          <w:p w:rsidR="00E967DB" w:rsidRDefault="00E967DB" w:rsidP="00E967DB">
            <w:pPr>
              <w:jc w:val="center"/>
              <w:rPr>
                <w:rFonts w:ascii="Arial" w:hAnsi="Arial" w:cs="Arial"/>
                <w:sz w:val="24"/>
              </w:rPr>
            </w:pPr>
            <w:r>
              <w:rPr>
                <w:rFonts w:ascii="Arial" w:hAnsi="Arial" w:cs="Arial"/>
                <w:sz w:val="24"/>
              </w:rPr>
              <w:t>£5,500</w:t>
            </w:r>
          </w:p>
        </w:tc>
      </w:tr>
      <w:tr w:rsidR="00E967DB" w:rsidTr="00E967DB">
        <w:tc>
          <w:tcPr>
            <w:tcW w:w="2302" w:type="dxa"/>
          </w:tcPr>
          <w:p w:rsidR="00E967DB" w:rsidRPr="00E967DB" w:rsidRDefault="00A42675" w:rsidP="00E967DB">
            <w:pPr>
              <w:rPr>
                <w:rFonts w:ascii="Arial" w:hAnsi="Arial" w:cs="Arial"/>
                <w:sz w:val="24"/>
                <w:highlight w:val="yellow"/>
              </w:rPr>
            </w:pPr>
            <w:r>
              <w:rPr>
                <w:rFonts w:ascii="Arial" w:hAnsi="Arial" w:cs="Arial"/>
                <w:sz w:val="24"/>
                <w:highlight w:val="yellow"/>
              </w:rPr>
              <w:lastRenderedPageBreak/>
              <w:t xml:space="preserve">Bespoke </w:t>
            </w:r>
            <w:r w:rsidR="00E967DB" w:rsidRPr="00E967DB">
              <w:rPr>
                <w:rFonts w:ascii="Arial" w:hAnsi="Arial" w:cs="Arial"/>
                <w:sz w:val="24"/>
                <w:highlight w:val="yellow"/>
              </w:rPr>
              <w:t>SALT</w:t>
            </w:r>
          </w:p>
        </w:tc>
        <w:tc>
          <w:tcPr>
            <w:tcW w:w="1417" w:type="dxa"/>
          </w:tcPr>
          <w:p w:rsidR="00E967DB" w:rsidRDefault="00A42675" w:rsidP="00E967DB">
            <w:pPr>
              <w:jc w:val="center"/>
              <w:rPr>
                <w:rFonts w:ascii="Arial" w:hAnsi="Arial" w:cs="Arial"/>
                <w:sz w:val="24"/>
              </w:rPr>
            </w:pPr>
            <w:r>
              <w:rPr>
                <w:rFonts w:ascii="Arial" w:hAnsi="Arial" w:cs="Arial"/>
                <w:sz w:val="24"/>
              </w:rPr>
              <w:t>£20</w:t>
            </w:r>
            <w:r w:rsidR="00E967DB">
              <w:rPr>
                <w:rFonts w:ascii="Arial" w:hAnsi="Arial" w:cs="Arial"/>
                <w:sz w:val="24"/>
              </w:rPr>
              <w:t>00</w:t>
            </w:r>
          </w:p>
        </w:tc>
        <w:tc>
          <w:tcPr>
            <w:tcW w:w="1417" w:type="dxa"/>
          </w:tcPr>
          <w:p w:rsidR="00E967DB" w:rsidRDefault="00A42675" w:rsidP="00E967DB">
            <w:pPr>
              <w:jc w:val="center"/>
              <w:rPr>
                <w:rFonts w:ascii="Arial" w:hAnsi="Arial" w:cs="Arial"/>
                <w:sz w:val="24"/>
              </w:rPr>
            </w:pPr>
            <w:r>
              <w:rPr>
                <w:rFonts w:ascii="Arial" w:hAnsi="Arial" w:cs="Arial"/>
                <w:sz w:val="24"/>
              </w:rPr>
              <w:t>£20</w:t>
            </w:r>
            <w:r w:rsidR="00E967DB">
              <w:rPr>
                <w:rFonts w:ascii="Arial" w:hAnsi="Arial" w:cs="Arial"/>
                <w:sz w:val="24"/>
              </w:rPr>
              <w:t>00</w:t>
            </w:r>
          </w:p>
        </w:tc>
        <w:tc>
          <w:tcPr>
            <w:tcW w:w="1417" w:type="dxa"/>
          </w:tcPr>
          <w:p w:rsidR="00E967DB" w:rsidRDefault="00E967DB" w:rsidP="00E967DB">
            <w:pPr>
              <w:jc w:val="center"/>
              <w:rPr>
                <w:rFonts w:ascii="Arial" w:hAnsi="Arial" w:cs="Arial"/>
                <w:sz w:val="24"/>
              </w:rPr>
            </w:pPr>
            <w:r>
              <w:rPr>
                <w:rFonts w:ascii="Arial" w:hAnsi="Arial" w:cs="Arial"/>
                <w:sz w:val="24"/>
              </w:rPr>
              <w:t>£2000</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tcPr>
          <w:p w:rsidR="00E967DB" w:rsidRDefault="00A42675" w:rsidP="00E967DB">
            <w:pPr>
              <w:jc w:val="center"/>
              <w:rPr>
                <w:rFonts w:ascii="Arial" w:hAnsi="Arial" w:cs="Arial"/>
                <w:sz w:val="24"/>
              </w:rPr>
            </w:pPr>
            <w:r>
              <w:rPr>
                <w:rFonts w:ascii="Arial" w:hAnsi="Arial" w:cs="Arial"/>
                <w:sz w:val="24"/>
              </w:rPr>
              <w:t>£6</w:t>
            </w:r>
            <w:r w:rsidR="00E967DB">
              <w:rPr>
                <w:rFonts w:ascii="Arial" w:hAnsi="Arial" w:cs="Arial"/>
                <w:sz w:val="24"/>
              </w:rPr>
              <w:t>,000</w:t>
            </w:r>
          </w:p>
        </w:tc>
      </w:tr>
      <w:tr w:rsidR="00F51429" w:rsidTr="00E967DB">
        <w:tc>
          <w:tcPr>
            <w:tcW w:w="2302" w:type="dxa"/>
          </w:tcPr>
          <w:p w:rsidR="00F51429" w:rsidRPr="00E967DB" w:rsidRDefault="00F51429" w:rsidP="00A42675">
            <w:pPr>
              <w:rPr>
                <w:rFonts w:ascii="Arial" w:hAnsi="Arial" w:cs="Arial"/>
                <w:sz w:val="24"/>
                <w:highlight w:val="yellow"/>
              </w:rPr>
            </w:pPr>
            <w:r>
              <w:rPr>
                <w:rFonts w:ascii="Arial" w:hAnsi="Arial" w:cs="Arial"/>
                <w:sz w:val="24"/>
                <w:highlight w:val="yellow"/>
              </w:rPr>
              <w:t>SALT</w:t>
            </w:r>
            <w:r w:rsidR="00A42675">
              <w:rPr>
                <w:rFonts w:ascii="Arial" w:hAnsi="Arial" w:cs="Arial"/>
                <w:sz w:val="24"/>
                <w:highlight w:val="yellow"/>
              </w:rPr>
              <w:t xml:space="preserve"> Follow up</w:t>
            </w:r>
          </w:p>
        </w:tc>
        <w:tc>
          <w:tcPr>
            <w:tcW w:w="1417" w:type="dxa"/>
          </w:tcPr>
          <w:p w:rsidR="00F51429" w:rsidRDefault="003D52DB" w:rsidP="00E967DB">
            <w:pPr>
              <w:jc w:val="center"/>
              <w:rPr>
                <w:rFonts w:ascii="Arial" w:hAnsi="Arial" w:cs="Arial"/>
                <w:sz w:val="24"/>
              </w:rPr>
            </w:pPr>
            <w:r>
              <w:rPr>
                <w:rFonts w:ascii="Arial" w:hAnsi="Arial" w:cs="Arial"/>
                <w:sz w:val="24"/>
              </w:rPr>
              <w:t>£8</w:t>
            </w:r>
            <w:r w:rsidR="00F51429">
              <w:rPr>
                <w:rFonts w:ascii="Arial" w:hAnsi="Arial" w:cs="Arial"/>
                <w:sz w:val="24"/>
              </w:rPr>
              <w:t>00</w:t>
            </w:r>
          </w:p>
        </w:tc>
        <w:tc>
          <w:tcPr>
            <w:tcW w:w="1417" w:type="dxa"/>
          </w:tcPr>
          <w:p w:rsidR="00F51429" w:rsidRDefault="003D52DB" w:rsidP="00E967DB">
            <w:pPr>
              <w:jc w:val="center"/>
              <w:rPr>
                <w:rFonts w:ascii="Arial" w:hAnsi="Arial" w:cs="Arial"/>
                <w:sz w:val="24"/>
              </w:rPr>
            </w:pPr>
            <w:r>
              <w:rPr>
                <w:rFonts w:ascii="Arial" w:hAnsi="Arial" w:cs="Arial"/>
                <w:sz w:val="24"/>
              </w:rPr>
              <w:t>£8</w:t>
            </w:r>
            <w:r w:rsidR="00F51429">
              <w:rPr>
                <w:rFonts w:ascii="Arial" w:hAnsi="Arial" w:cs="Arial"/>
                <w:sz w:val="24"/>
              </w:rPr>
              <w:t>00</w:t>
            </w:r>
          </w:p>
        </w:tc>
        <w:tc>
          <w:tcPr>
            <w:tcW w:w="1417" w:type="dxa"/>
          </w:tcPr>
          <w:p w:rsidR="00F51429" w:rsidRDefault="003D52DB" w:rsidP="00E967DB">
            <w:pPr>
              <w:jc w:val="center"/>
              <w:rPr>
                <w:rFonts w:ascii="Arial" w:hAnsi="Arial" w:cs="Arial"/>
                <w:sz w:val="24"/>
              </w:rPr>
            </w:pPr>
            <w:r>
              <w:rPr>
                <w:rFonts w:ascii="Arial" w:hAnsi="Arial" w:cs="Arial"/>
                <w:sz w:val="24"/>
              </w:rPr>
              <w:t>£8</w:t>
            </w:r>
            <w:r w:rsidR="00F51429">
              <w:rPr>
                <w:rFonts w:ascii="Arial" w:hAnsi="Arial" w:cs="Arial"/>
                <w:sz w:val="24"/>
              </w:rPr>
              <w:t>00</w:t>
            </w:r>
          </w:p>
        </w:tc>
        <w:tc>
          <w:tcPr>
            <w:tcW w:w="1417" w:type="dxa"/>
            <w:shd w:val="clear" w:color="auto" w:fill="DDD9C3" w:themeFill="background2" w:themeFillShade="E6"/>
          </w:tcPr>
          <w:p w:rsidR="00F51429" w:rsidRDefault="00F51429" w:rsidP="00E967DB">
            <w:pPr>
              <w:jc w:val="center"/>
              <w:rPr>
                <w:rFonts w:ascii="Arial" w:hAnsi="Arial" w:cs="Arial"/>
                <w:sz w:val="24"/>
              </w:rPr>
            </w:pPr>
          </w:p>
        </w:tc>
        <w:tc>
          <w:tcPr>
            <w:tcW w:w="1417" w:type="dxa"/>
            <w:shd w:val="clear" w:color="auto" w:fill="DDD9C3" w:themeFill="background2" w:themeFillShade="E6"/>
          </w:tcPr>
          <w:p w:rsidR="00F51429" w:rsidRDefault="00F51429" w:rsidP="00E967DB">
            <w:pPr>
              <w:jc w:val="center"/>
              <w:rPr>
                <w:rFonts w:ascii="Arial" w:hAnsi="Arial" w:cs="Arial"/>
                <w:sz w:val="24"/>
              </w:rPr>
            </w:pPr>
          </w:p>
        </w:tc>
        <w:tc>
          <w:tcPr>
            <w:tcW w:w="1418" w:type="dxa"/>
            <w:shd w:val="clear" w:color="auto" w:fill="DDD9C3" w:themeFill="background2" w:themeFillShade="E6"/>
          </w:tcPr>
          <w:p w:rsidR="00F51429" w:rsidRDefault="00F51429" w:rsidP="00E967DB">
            <w:pPr>
              <w:jc w:val="center"/>
              <w:rPr>
                <w:rFonts w:ascii="Arial" w:hAnsi="Arial" w:cs="Arial"/>
                <w:sz w:val="24"/>
              </w:rPr>
            </w:pPr>
          </w:p>
        </w:tc>
        <w:tc>
          <w:tcPr>
            <w:tcW w:w="1418" w:type="dxa"/>
            <w:shd w:val="clear" w:color="auto" w:fill="DDD9C3" w:themeFill="background2" w:themeFillShade="E6"/>
          </w:tcPr>
          <w:p w:rsidR="00F51429" w:rsidRDefault="00F51429" w:rsidP="00E967DB">
            <w:pPr>
              <w:jc w:val="center"/>
              <w:rPr>
                <w:rFonts w:ascii="Arial" w:hAnsi="Arial" w:cs="Arial"/>
                <w:sz w:val="24"/>
              </w:rPr>
            </w:pPr>
          </w:p>
        </w:tc>
        <w:tc>
          <w:tcPr>
            <w:tcW w:w="1418" w:type="dxa"/>
            <w:shd w:val="clear" w:color="auto" w:fill="DDD9C3" w:themeFill="background2" w:themeFillShade="E6"/>
          </w:tcPr>
          <w:p w:rsidR="00F51429" w:rsidRDefault="00F51429" w:rsidP="00E967DB">
            <w:pPr>
              <w:jc w:val="center"/>
              <w:rPr>
                <w:rFonts w:ascii="Arial" w:hAnsi="Arial" w:cs="Arial"/>
                <w:sz w:val="24"/>
              </w:rPr>
            </w:pPr>
          </w:p>
        </w:tc>
        <w:tc>
          <w:tcPr>
            <w:tcW w:w="1418" w:type="dxa"/>
          </w:tcPr>
          <w:p w:rsidR="00F51429" w:rsidRDefault="003D52DB" w:rsidP="00E967DB">
            <w:pPr>
              <w:jc w:val="center"/>
              <w:rPr>
                <w:rFonts w:ascii="Arial" w:hAnsi="Arial" w:cs="Arial"/>
                <w:sz w:val="24"/>
              </w:rPr>
            </w:pPr>
            <w:r>
              <w:rPr>
                <w:rFonts w:ascii="Arial" w:hAnsi="Arial" w:cs="Arial"/>
                <w:sz w:val="24"/>
              </w:rPr>
              <w:t>£2,4</w:t>
            </w:r>
            <w:r w:rsidR="00F51429">
              <w:rPr>
                <w:rFonts w:ascii="Arial" w:hAnsi="Arial" w:cs="Arial"/>
                <w:sz w:val="24"/>
              </w:rPr>
              <w:t>00</w:t>
            </w:r>
          </w:p>
        </w:tc>
      </w:tr>
      <w:tr w:rsidR="00E967DB" w:rsidTr="00E967DB">
        <w:tc>
          <w:tcPr>
            <w:tcW w:w="2302" w:type="dxa"/>
          </w:tcPr>
          <w:p w:rsidR="00E967DB" w:rsidRPr="00E967DB" w:rsidRDefault="00E967DB" w:rsidP="00E967DB">
            <w:pPr>
              <w:rPr>
                <w:rFonts w:ascii="Arial" w:hAnsi="Arial" w:cs="Arial"/>
                <w:sz w:val="24"/>
                <w:highlight w:val="yellow"/>
              </w:rPr>
            </w:pPr>
            <w:r w:rsidRPr="00E967DB">
              <w:rPr>
                <w:rFonts w:ascii="Arial" w:hAnsi="Arial" w:cs="Arial"/>
                <w:sz w:val="24"/>
                <w:highlight w:val="yellow"/>
              </w:rPr>
              <w:t>Over-staffing in EYFS</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tcPr>
          <w:p w:rsidR="00E967DB" w:rsidRDefault="003D52DB" w:rsidP="00E967DB">
            <w:pPr>
              <w:jc w:val="center"/>
              <w:rPr>
                <w:rFonts w:ascii="Arial" w:hAnsi="Arial" w:cs="Arial"/>
                <w:sz w:val="24"/>
              </w:rPr>
            </w:pPr>
            <w:r>
              <w:rPr>
                <w:rFonts w:ascii="Arial" w:hAnsi="Arial" w:cs="Arial"/>
                <w:sz w:val="24"/>
              </w:rPr>
              <w:t>£11,0</w:t>
            </w:r>
            <w:r w:rsidR="00E967DB">
              <w:rPr>
                <w:rFonts w:ascii="Arial" w:hAnsi="Arial" w:cs="Arial"/>
                <w:sz w:val="24"/>
              </w:rPr>
              <w:t>00</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tcPr>
          <w:p w:rsidR="00E967DB" w:rsidRDefault="003D52DB" w:rsidP="00E967DB">
            <w:pPr>
              <w:jc w:val="center"/>
              <w:rPr>
                <w:rFonts w:ascii="Arial" w:hAnsi="Arial" w:cs="Arial"/>
                <w:sz w:val="24"/>
              </w:rPr>
            </w:pPr>
            <w:r>
              <w:rPr>
                <w:rFonts w:ascii="Arial" w:hAnsi="Arial" w:cs="Arial"/>
                <w:sz w:val="24"/>
              </w:rPr>
              <w:t>£11,0</w:t>
            </w:r>
            <w:r w:rsidR="00E967DB">
              <w:rPr>
                <w:rFonts w:ascii="Arial" w:hAnsi="Arial" w:cs="Arial"/>
                <w:sz w:val="24"/>
              </w:rPr>
              <w:t>00</w:t>
            </w:r>
          </w:p>
        </w:tc>
      </w:tr>
      <w:tr w:rsidR="003D52DB" w:rsidTr="003D52DB">
        <w:tc>
          <w:tcPr>
            <w:tcW w:w="2302" w:type="dxa"/>
          </w:tcPr>
          <w:p w:rsidR="003D52DB" w:rsidRPr="00E967DB" w:rsidRDefault="003D52DB" w:rsidP="00E967DB">
            <w:pPr>
              <w:rPr>
                <w:rFonts w:ascii="Arial" w:hAnsi="Arial" w:cs="Arial"/>
                <w:sz w:val="24"/>
                <w:highlight w:val="yellow"/>
              </w:rPr>
            </w:pPr>
            <w:r>
              <w:rPr>
                <w:rFonts w:ascii="Arial" w:hAnsi="Arial" w:cs="Arial"/>
                <w:sz w:val="24"/>
                <w:highlight w:val="yellow"/>
              </w:rPr>
              <w:t>Over-staffing in Y1</w:t>
            </w:r>
          </w:p>
        </w:tc>
        <w:tc>
          <w:tcPr>
            <w:tcW w:w="1417" w:type="dxa"/>
            <w:shd w:val="clear" w:color="auto" w:fill="DDD9C3" w:themeFill="background2" w:themeFillShade="E6"/>
          </w:tcPr>
          <w:p w:rsidR="003D52DB" w:rsidRDefault="003D52DB" w:rsidP="00E967DB">
            <w:pPr>
              <w:jc w:val="center"/>
              <w:rPr>
                <w:rFonts w:ascii="Arial" w:hAnsi="Arial" w:cs="Arial"/>
                <w:sz w:val="24"/>
              </w:rPr>
            </w:pPr>
          </w:p>
        </w:tc>
        <w:tc>
          <w:tcPr>
            <w:tcW w:w="1417" w:type="dxa"/>
            <w:shd w:val="clear" w:color="auto" w:fill="DDD9C3" w:themeFill="background2" w:themeFillShade="E6"/>
          </w:tcPr>
          <w:p w:rsidR="003D52DB" w:rsidRDefault="003D52DB" w:rsidP="00E967DB">
            <w:pPr>
              <w:jc w:val="center"/>
              <w:rPr>
                <w:rFonts w:ascii="Arial" w:hAnsi="Arial" w:cs="Arial"/>
                <w:sz w:val="24"/>
              </w:rPr>
            </w:pPr>
          </w:p>
        </w:tc>
        <w:tc>
          <w:tcPr>
            <w:tcW w:w="1417" w:type="dxa"/>
            <w:shd w:val="clear" w:color="auto" w:fill="FFFFFF" w:themeFill="background1"/>
          </w:tcPr>
          <w:p w:rsidR="003D52DB" w:rsidRDefault="003D52DB" w:rsidP="00E967DB">
            <w:pPr>
              <w:jc w:val="center"/>
              <w:rPr>
                <w:rFonts w:ascii="Arial" w:hAnsi="Arial" w:cs="Arial"/>
                <w:sz w:val="24"/>
              </w:rPr>
            </w:pPr>
            <w:r>
              <w:rPr>
                <w:rFonts w:ascii="Arial" w:hAnsi="Arial" w:cs="Arial"/>
                <w:sz w:val="24"/>
              </w:rPr>
              <w:t>£11,000</w:t>
            </w:r>
          </w:p>
        </w:tc>
        <w:tc>
          <w:tcPr>
            <w:tcW w:w="1417" w:type="dxa"/>
            <w:shd w:val="clear" w:color="auto" w:fill="DDD9C3" w:themeFill="background2" w:themeFillShade="E6"/>
          </w:tcPr>
          <w:p w:rsidR="003D52DB" w:rsidRDefault="003D52DB" w:rsidP="00E967DB">
            <w:pPr>
              <w:jc w:val="center"/>
              <w:rPr>
                <w:rFonts w:ascii="Arial" w:hAnsi="Arial" w:cs="Arial"/>
                <w:sz w:val="24"/>
              </w:rPr>
            </w:pPr>
          </w:p>
        </w:tc>
        <w:tc>
          <w:tcPr>
            <w:tcW w:w="1417" w:type="dxa"/>
            <w:shd w:val="clear" w:color="auto" w:fill="DDD9C3" w:themeFill="background2" w:themeFillShade="E6"/>
          </w:tcPr>
          <w:p w:rsidR="003D52DB" w:rsidRDefault="003D52DB" w:rsidP="00E967DB">
            <w:pPr>
              <w:jc w:val="center"/>
              <w:rPr>
                <w:rFonts w:ascii="Arial" w:hAnsi="Arial" w:cs="Arial"/>
                <w:sz w:val="24"/>
              </w:rPr>
            </w:pPr>
          </w:p>
        </w:tc>
        <w:tc>
          <w:tcPr>
            <w:tcW w:w="1418" w:type="dxa"/>
            <w:shd w:val="clear" w:color="auto" w:fill="DDD9C3" w:themeFill="background2" w:themeFillShade="E6"/>
          </w:tcPr>
          <w:p w:rsidR="003D52DB" w:rsidRDefault="003D52DB" w:rsidP="00E967DB">
            <w:pPr>
              <w:jc w:val="center"/>
              <w:rPr>
                <w:rFonts w:ascii="Arial" w:hAnsi="Arial" w:cs="Arial"/>
                <w:sz w:val="24"/>
              </w:rPr>
            </w:pPr>
          </w:p>
        </w:tc>
        <w:tc>
          <w:tcPr>
            <w:tcW w:w="1418" w:type="dxa"/>
            <w:shd w:val="clear" w:color="auto" w:fill="DDD9C3" w:themeFill="background2" w:themeFillShade="E6"/>
          </w:tcPr>
          <w:p w:rsidR="003D52DB" w:rsidRDefault="003D52DB" w:rsidP="00E967DB">
            <w:pPr>
              <w:jc w:val="center"/>
              <w:rPr>
                <w:rFonts w:ascii="Arial" w:hAnsi="Arial" w:cs="Arial"/>
                <w:sz w:val="24"/>
              </w:rPr>
            </w:pPr>
          </w:p>
        </w:tc>
        <w:tc>
          <w:tcPr>
            <w:tcW w:w="1418" w:type="dxa"/>
            <w:shd w:val="clear" w:color="auto" w:fill="DDD9C3" w:themeFill="background2" w:themeFillShade="E6"/>
          </w:tcPr>
          <w:p w:rsidR="003D52DB" w:rsidRDefault="003D52DB" w:rsidP="00E967DB">
            <w:pPr>
              <w:jc w:val="center"/>
              <w:rPr>
                <w:rFonts w:ascii="Arial" w:hAnsi="Arial" w:cs="Arial"/>
                <w:sz w:val="24"/>
              </w:rPr>
            </w:pPr>
          </w:p>
        </w:tc>
        <w:tc>
          <w:tcPr>
            <w:tcW w:w="1418" w:type="dxa"/>
          </w:tcPr>
          <w:p w:rsidR="003D52DB" w:rsidRDefault="003D52DB" w:rsidP="00E967DB">
            <w:pPr>
              <w:jc w:val="center"/>
              <w:rPr>
                <w:rFonts w:ascii="Arial" w:hAnsi="Arial" w:cs="Arial"/>
                <w:sz w:val="24"/>
              </w:rPr>
            </w:pPr>
            <w:r>
              <w:rPr>
                <w:rFonts w:ascii="Arial" w:hAnsi="Arial" w:cs="Arial"/>
                <w:sz w:val="24"/>
              </w:rPr>
              <w:t>£11,000</w:t>
            </w:r>
          </w:p>
        </w:tc>
      </w:tr>
      <w:tr w:rsidR="00E967DB" w:rsidTr="00E967DB">
        <w:tc>
          <w:tcPr>
            <w:tcW w:w="2302" w:type="dxa"/>
          </w:tcPr>
          <w:p w:rsidR="00E967DB" w:rsidRDefault="00E967DB" w:rsidP="00E967DB">
            <w:pPr>
              <w:rPr>
                <w:rFonts w:ascii="Arial" w:hAnsi="Arial" w:cs="Arial"/>
                <w:sz w:val="24"/>
              </w:rPr>
            </w:pPr>
            <w:proofErr w:type="spellStart"/>
            <w:r>
              <w:rPr>
                <w:rFonts w:ascii="Arial" w:hAnsi="Arial" w:cs="Arial"/>
                <w:sz w:val="24"/>
              </w:rPr>
              <w:t>Testbase</w:t>
            </w:r>
            <w:proofErr w:type="spellEnd"/>
            <w:r>
              <w:rPr>
                <w:rFonts w:ascii="Arial" w:hAnsi="Arial" w:cs="Arial"/>
                <w:sz w:val="24"/>
              </w:rPr>
              <w:t xml:space="preserve"> to support assessment</w:t>
            </w:r>
          </w:p>
        </w:tc>
        <w:tc>
          <w:tcPr>
            <w:tcW w:w="11339" w:type="dxa"/>
            <w:gridSpan w:val="8"/>
          </w:tcPr>
          <w:p w:rsidR="00E967DB" w:rsidRDefault="00E967DB" w:rsidP="00E967DB">
            <w:pPr>
              <w:jc w:val="center"/>
              <w:rPr>
                <w:rFonts w:ascii="Arial" w:hAnsi="Arial" w:cs="Arial"/>
                <w:sz w:val="24"/>
              </w:rPr>
            </w:pPr>
            <w:r>
              <w:rPr>
                <w:rFonts w:ascii="Arial" w:hAnsi="Arial" w:cs="Arial"/>
                <w:sz w:val="24"/>
              </w:rPr>
              <w:t>Shared but heavy focus on Y2-Y6 classes</w:t>
            </w:r>
          </w:p>
        </w:tc>
        <w:tc>
          <w:tcPr>
            <w:tcW w:w="1418" w:type="dxa"/>
          </w:tcPr>
          <w:p w:rsidR="00E967DB" w:rsidRDefault="003D52DB" w:rsidP="00E967DB">
            <w:pPr>
              <w:jc w:val="center"/>
              <w:rPr>
                <w:rFonts w:ascii="Arial" w:hAnsi="Arial" w:cs="Arial"/>
                <w:sz w:val="24"/>
              </w:rPr>
            </w:pPr>
            <w:r>
              <w:rPr>
                <w:rFonts w:ascii="Arial" w:hAnsi="Arial" w:cs="Arial"/>
                <w:sz w:val="24"/>
              </w:rPr>
              <w:t>£30</w:t>
            </w:r>
            <w:r w:rsidR="00E967DB">
              <w:rPr>
                <w:rFonts w:ascii="Arial" w:hAnsi="Arial" w:cs="Arial"/>
                <w:sz w:val="24"/>
              </w:rPr>
              <w:t>0</w:t>
            </w:r>
          </w:p>
        </w:tc>
      </w:tr>
      <w:tr w:rsidR="00E967DB" w:rsidTr="00E967DB">
        <w:tc>
          <w:tcPr>
            <w:tcW w:w="2302" w:type="dxa"/>
          </w:tcPr>
          <w:p w:rsidR="00E967DB" w:rsidRDefault="00E967DB" w:rsidP="00E967DB">
            <w:pPr>
              <w:rPr>
                <w:rFonts w:ascii="Arial" w:hAnsi="Arial" w:cs="Arial"/>
                <w:sz w:val="24"/>
              </w:rPr>
            </w:pPr>
            <w:r>
              <w:rPr>
                <w:rFonts w:ascii="Arial" w:hAnsi="Arial" w:cs="Arial"/>
                <w:sz w:val="24"/>
              </w:rPr>
              <w:t>Breakfast Clubs and targeted attendance concerns</w:t>
            </w:r>
          </w:p>
        </w:tc>
        <w:tc>
          <w:tcPr>
            <w:tcW w:w="11339" w:type="dxa"/>
            <w:gridSpan w:val="8"/>
          </w:tcPr>
          <w:p w:rsidR="00E967DB" w:rsidRDefault="00E967DB" w:rsidP="00E967DB">
            <w:pPr>
              <w:jc w:val="center"/>
              <w:rPr>
                <w:rFonts w:ascii="Arial" w:hAnsi="Arial" w:cs="Arial"/>
                <w:sz w:val="24"/>
              </w:rPr>
            </w:pPr>
            <w:r>
              <w:rPr>
                <w:rFonts w:ascii="Arial" w:hAnsi="Arial" w:cs="Arial"/>
                <w:sz w:val="24"/>
              </w:rPr>
              <w:t>Shared but heavy focus on Y6 SATS</w:t>
            </w:r>
          </w:p>
        </w:tc>
        <w:tc>
          <w:tcPr>
            <w:tcW w:w="1418" w:type="dxa"/>
          </w:tcPr>
          <w:p w:rsidR="00E967DB" w:rsidRDefault="00E967DB" w:rsidP="00E967DB">
            <w:pPr>
              <w:jc w:val="center"/>
              <w:rPr>
                <w:rFonts w:ascii="Arial" w:hAnsi="Arial" w:cs="Arial"/>
                <w:sz w:val="24"/>
              </w:rPr>
            </w:pPr>
            <w:r>
              <w:rPr>
                <w:rFonts w:ascii="Arial" w:hAnsi="Arial" w:cs="Arial"/>
                <w:sz w:val="24"/>
              </w:rPr>
              <w:t>£900</w:t>
            </w:r>
          </w:p>
        </w:tc>
      </w:tr>
      <w:tr w:rsidR="00E967DB" w:rsidTr="00E967DB">
        <w:tc>
          <w:tcPr>
            <w:tcW w:w="2302" w:type="dxa"/>
          </w:tcPr>
          <w:p w:rsidR="00E967DB" w:rsidRDefault="00E967DB" w:rsidP="00E967DB">
            <w:pPr>
              <w:rPr>
                <w:rFonts w:ascii="Arial" w:hAnsi="Arial" w:cs="Arial"/>
                <w:sz w:val="24"/>
              </w:rPr>
            </w:pPr>
            <w:r>
              <w:rPr>
                <w:rFonts w:ascii="Arial" w:hAnsi="Arial" w:cs="Arial"/>
                <w:sz w:val="24"/>
              </w:rPr>
              <w:t>School Visit support</w:t>
            </w:r>
          </w:p>
        </w:tc>
        <w:tc>
          <w:tcPr>
            <w:tcW w:w="11339" w:type="dxa"/>
            <w:gridSpan w:val="8"/>
          </w:tcPr>
          <w:p w:rsidR="00E967DB" w:rsidRDefault="00E967DB" w:rsidP="00E967DB">
            <w:pPr>
              <w:jc w:val="center"/>
              <w:rPr>
                <w:rFonts w:ascii="Arial" w:hAnsi="Arial" w:cs="Arial"/>
                <w:sz w:val="24"/>
              </w:rPr>
            </w:pPr>
            <w:r>
              <w:rPr>
                <w:rFonts w:ascii="Arial" w:hAnsi="Arial" w:cs="Arial"/>
                <w:sz w:val="24"/>
              </w:rPr>
              <w:t>Shared but heavy focus on residential support</w:t>
            </w:r>
          </w:p>
        </w:tc>
        <w:tc>
          <w:tcPr>
            <w:tcW w:w="1418" w:type="dxa"/>
          </w:tcPr>
          <w:p w:rsidR="00E967DB" w:rsidRDefault="00E967DB" w:rsidP="00E967DB">
            <w:pPr>
              <w:jc w:val="center"/>
              <w:rPr>
                <w:rFonts w:ascii="Arial" w:hAnsi="Arial" w:cs="Arial"/>
                <w:sz w:val="24"/>
              </w:rPr>
            </w:pPr>
            <w:r>
              <w:rPr>
                <w:rFonts w:ascii="Arial" w:hAnsi="Arial" w:cs="Arial"/>
                <w:sz w:val="24"/>
              </w:rPr>
              <w:t>£1,500</w:t>
            </w:r>
          </w:p>
        </w:tc>
      </w:tr>
      <w:tr w:rsidR="00E967DB" w:rsidTr="003D52DB">
        <w:tc>
          <w:tcPr>
            <w:tcW w:w="2302" w:type="dxa"/>
          </w:tcPr>
          <w:p w:rsidR="00E967DB" w:rsidRDefault="00E967DB" w:rsidP="00E967DB">
            <w:pPr>
              <w:rPr>
                <w:rFonts w:ascii="Arial" w:hAnsi="Arial" w:cs="Arial"/>
                <w:sz w:val="24"/>
              </w:rPr>
            </w:pPr>
            <w:r>
              <w:rPr>
                <w:rFonts w:ascii="Arial" w:hAnsi="Arial" w:cs="Arial"/>
                <w:sz w:val="24"/>
              </w:rPr>
              <w:t>Jump Ahead Group</w:t>
            </w: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tcPr>
          <w:p w:rsidR="00E967DB" w:rsidRDefault="003D52DB" w:rsidP="00E967DB">
            <w:pPr>
              <w:jc w:val="center"/>
              <w:rPr>
                <w:rFonts w:ascii="Arial" w:hAnsi="Arial" w:cs="Arial"/>
                <w:sz w:val="24"/>
              </w:rPr>
            </w:pPr>
            <w:r>
              <w:rPr>
                <w:rFonts w:ascii="Arial" w:hAnsi="Arial" w:cs="Arial"/>
                <w:sz w:val="24"/>
              </w:rPr>
              <w:t>£4</w:t>
            </w:r>
            <w:r w:rsidR="00E967DB">
              <w:rPr>
                <w:rFonts w:ascii="Arial" w:hAnsi="Arial" w:cs="Arial"/>
                <w:sz w:val="24"/>
              </w:rPr>
              <w:t>00</w:t>
            </w:r>
          </w:p>
        </w:tc>
        <w:tc>
          <w:tcPr>
            <w:tcW w:w="1418" w:type="dxa"/>
            <w:shd w:val="clear" w:color="auto" w:fill="FFFFFF" w:themeFill="background1"/>
          </w:tcPr>
          <w:p w:rsidR="00E967DB" w:rsidRDefault="003D52DB" w:rsidP="00E967DB">
            <w:pPr>
              <w:jc w:val="center"/>
              <w:rPr>
                <w:rFonts w:ascii="Arial" w:hAnsi="Arial" w:cs="Arial"/>
                <w:sz w:val="24"/>
              </w:rPr>
            </w:pPr>
            <w:r>
              <w:rPr>
                <w:rFonts w:ascii="Arial" w:hAnsi="Arial" w:cs="Arial"/>
                <w:sz w:val="24"/>
              </w:rPr>
              <w:t>£400</w:t>
            </w: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tcPr>
          <w:p w:rsidR="00E967DB" w:rsidRDefault="003D52DB" w:rsidP="00E967DB">
            <w:pPr>
              <w:jc w:val="center"/>
              <w:rPr>
                <w:rFonts w:ascii="Arial" w:hAnsi="Arial" w:cs="Arial"/>
                <w:sz w:val="24"/>
              </w:rPr>
            </w:pPr>
            <w:r>
              <w:rPr>
                <w:rFonts w:ascii="Arial" w:hAnsi="Arial" w:cs="Arial"/>
                <w:sz w:val="24"/>
              </w:rPr>
              <w:t>£8</w:t>
            </w:r>
            <w:r w:rsidR="00E967DB">
              <w:rPr>
                <w:rFonts w:ascii="Arial" w:hAnsi="Arial" w:cs="Arial"/>
                <w:sz w:val="24"/>
              </w:rPr>
              <w:t>00</w:t>
            </w:r>
          </w:p>
        </w:tc>
      </w:tr>
      <w:tr w:rsidR="00E967DB" w:rsidTr="00E967DB">
        <w:tc>
          <w:tcPr>
            <w:tcW w:w="2302" w:type="dxa"/>
            <w:shd w:val="clear" w:color="auto" w:fill="DDD9C3" w:themeFill="background2" w:themeFillShade="E6"/>
          </w:tcPr>
          <w:p w:rsidR="00E967DB" w:rsidRDefault="00E967DB" w:rsidP="00E967DB">
            <w:pP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7"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shd w:val="clear" w:color="auto" w:fill="DDD9C3" w:themeFill="background2" w:themeFillShade="E6"/>
          </w:tcPr>
          <w:p w:rsidR="00E967DB" w:rsidRDefault="00E967DB" w:rsidP="00E967DB">
            <w:pPr>
              <w:jc w:val="center"/>
              <w:rPr>
                <w:rFonts w:ascii="Arial" w:hAnsi="Arial" w:cs="Arial"/>
                <w:sz w:val="24"/>
              </w:rPr>
            </w:pPr>
          </w:p>
        </w:tc>
        <w:tc>
          <w:tcPr>
            <w:tcW w:w="1418" w:type="dxa"/>
          </w:tcPr>
          <w:p w:rsidR="00E967DB" w:rsidRDefault="00E967DB" w:rsidP="00E967DB">
            <w:pPr>
              <w:jc w:val="center"/>
              <w:rPr>
                <w:rFonts w:ascii="Arial" w:hAnsi="Arial" w:cs="Arial"/>
                <w:sz w:val="24"/>
              </w:rPr>
            </w:pPr>
            <w:r>
              <w:rPr>
                <w:rFonts w:ascii="Arial" w:hAnsi="Arial" w:cs="Arial"/>
                <w:sz w:val="24"/>
              </w:rPr>
              <w:t>Total</w:t>
            </w:r>
          </w:p>
        </w:tc>
        <w:tc>
          <w:tcPr>
            <w:tcW w:w="1418" w:type="dxa"/>
          </w:tcPr>
          <w:p w:rsidR="00E967DB" w:rsidRDefault="003D52DB" w:rsidP="00E967DB">
            <w:pPr>
              <w:jc w:val="center"/>
              <w:rPr>
                <w:rFonts w:ascii="Arial" w:hAnsi="Arial" w:cs="Arial"/>
                <w:sz w:val="24"/>
              </w:rPr>
            </w:pPr>
            <w:r>
              <w:rPr>
                <w:rFonts w:ascii="Arial" w:hAnsi="Arial" w:cs="Arial"/>
                <w:sz w:val="24"/>
              </w:rPr>
              <w:t>£66</w:t>
            </w:r>
            <w:r w:rsidR="00F51429">
              <w:rPr>
                <w:rFonts w:ascii="Arial" w:hAnsi="Arial" w:cs="Arial"/>
                <w:sz w:val="24"/>
              </w:rPr>
              <w:t>,0</w:t>
            </w:r>
            <w:r w:rsidR="00E967DB">
              <w:rPr>
                <w:rFonts w:ascii="Arial" w:hAnsi="Arial" w:cs="Arial"/>
                <w:sz w:val="24"/>
              </w:rPr>
              <w:t>00</w:t>
            </w:r>
          </w:p>
        </w:tc>
      </w:tr>
    </w:tbl>
    <w:p w:rsidR="00E967DB" w:rsidRPr="00E967DB" w:rsidRDefault="00E967DB" w:rsidP="00E967DB">
      <w:pPr>
        <w:rPr>
          <w:rFonts w:ascii="Arial" w:hAnsi="Arial" w:cs="Arial"/>
          <w:sz w:val="24"/>
        </w:rPr>
      </w:pPr>
    </w:p>
    <w:p w:rsidR="00A66A86" w:rsidRPr="00A66A86" w:rsidRDefault="00A66A86" w:rsidP="00A66A86">
      <w:pPr>
        <w:ind w:left="360"/>
        <w:rPr>
          <w:rFonts w:ascii="Arial" w:hAnsi="Arial" w:cs="Arial"/>
          <w:sz w:val="24"/>
        </w:rPr>
      </w:pPr>
    </w:p>
    <w:p w:rsidR="00A66A86" w:rsidRPr="00372470" w:rsidRDefault="00372470" w:rsidP="00A66A86">
      <w:pPr>
        <w:rPr>
          <w:rFonts w:ascii="Arial Black" w:hAnsi="Arial Black"/>
          <w:sz w:val="28"/>
        </w:rPr>
      </w:pPr>
      <w:r w:rsidRPr="00372470">
        <w:rPr>
          <w:rFonts w:ascii="Arial Black" w:hAnsi="Arial Black"/>
          <w:sz w:val="28"/>
        </w:rPr>
        <w:t>Review Notes</w:t>
      </w:r>
    </w:p>
    <w:p w:rsidR="00372470" w:rsidRPr="00386912" w:rsidRDefault="00372470" w:rsidP="00A66A86">
      <w:pPr>
        <w:rPr>
          <w:color w:val="92D050"/>
        </w:rPr>
      </w:pPr>
      <w:r w:rsidRPr="00386912">
        <w:rPr>
          <w:color w:val="92D050"/>
        </w:rPr>
        <w:t>Ready, Steady, Play- brings families into school early to support transition into F1.  Hard to measure impact but feedback is very positive especially on pupil and parent views.  LOW COST- MEDIUM IMPACT</w:t>
      </w:r>
    </w:p>
    <w:p w:rsidR="00372470" w:rsidRPr="00386912" w:rsidRDefault="00372470" w:rsidP="00A66A86">
      <w:pPr>
        <w:rPr>
          <w:color w:val="00B050"/>
        </w:rPr>
      </w:pPr>
      <w:r w:rsidRPr="00386912">
        <w:rPr>
          <w:color w:val="00B050"/>
        </w:rPr>
        <w:t>PSA- Very well received, allows teachers to teach, creates a bridge between parents/families and SLT.  MEDIUM COST- HIGH IMPACT</w:t>
      </w:r>
    </w:p>
    <w:p w:rsidR="00372470" w:rsidRPr="00386912" w:rsidRDefault="00372470" w:rsidP="00A66A86">
      <w:pPr>
        <w:rPr>
          <w:color w:val="D99594" w:themeColor="accent2" w:themeTint="99"/>
        </w:rPr>
      </w:pPr>
      <w:r w:rsidRPr="00386912">
        <w:rPr>
          <w:color w:val="D99594" w:themeColor="accent2" w:themeTint="99"/>
        </w:rPr>
        <w:t xml:space="preserve">TA SUPPORT- Well target TA intervention across the school allows teachers to break classes into smaller chunks and to support children more </w:t>
      </w:r>
      <w:proofErr w:type="spellStart"/>
      <w:r w:rsidRPr="00386912">
        <w:rPr>
          <w:color w:val="D99594" w:themeColor="accent2" w:themeTint="99"/>
        </w:rPr>
        <w:t>specificially</w:t>
      </w:r>
      <w:proofErr w:type="spellEnd"/>
      <w:r w:rsidRPr="00386912">
        <w:rPr>
          <w:color w:val="D99594" w:themeColor="accent2" w:themeTint="99"/>
        </w:rPr>
        <w:t xml:space="preserve">.  </w:t>
      </w:r>
      <w:proofErr w:type="gramStart"/>
      <w:r w:rsidRPr="00386912">
        <w:rPr>
          <w:color w:val="D99594" w:themeColor="accent2" w:themeTint="99"/>
        </w:rPr>
        <w:t>Particularly beneficial for phonics work and early reading.</w:t>
      </w:r>
      <w:proofErr w:type="gramEnd"/>
      <w:r w:rsidRPr="00386912">
        <w:rPr>
          <w:color w:val="D99594" w:themeColor="accent2" w:themeTint="99"/>
        </w:rPr>
        <w:t xml:space="preserve">  HIGH COST- MEDIUM IMPACT (Next step: more precise measures to capture the progress made as a direct result of each intervention)</w:t>
      </w:r>
    </w:p>
    <w:p w:rsidR="00372470" w:rsidRPr="00386912" w:rsidRDefault="00372470" w:rsidP="00A66A86">
      <w:pPr>
        <w:rPr>
          <w:color w:val="FFC000"/>
        </w:rPr>
      </w:pPr>
      <w:r w:rsidRPr="00386912">
        <w:rPr>
          <w:color w:val="FFC000"/>
        </w:rPr>
        <w:lastRenderedPageBreak/>
        <w:t xml:space="preserve">HLTA BOOSTER CLASSES- </w:t>
      </w:r>
      <w:r w:rsidR="00386912" w:rsidRPr="00386912">
        <w:rPr>
          <w:color w:val="FFC000"/>
        </w:rPr>
        <w:t>Split the bulge class into 3 groups across Y2 and supported groups in Y4, Y5 and Y6.  Progress is evident in these groups and work is more precisely meeting needs of individuals, particularly those who are more able.  Outcomes for pupils above average likely to meet national averages.  HIGH COST- HIGH IMPACT</w:t>
      </w:r>
    </w:p>
    <w:p w:rsidR="00386912" w:rsidRPr="00386912" w:rsidRDefault="00386912" w:rsidP="00A66A86">
      <w:pPr>
        <w:rPr>
          <w:color w:val="FFC000"/>
        </w:rPr>
      </w:pPr>
      <w:r w:rsidRPr="00386912">
        <w:rPr>
          <w:color w:val="FFC000"/>
        </w:rPr>
        <w:t>HLTA EMOTIONAL GROUPS- Hard to measure the progress but attendance of key pupils rising, behaviour is mostly very positive and pupils making expected progress.  HIGH COST- HIGH IMPACT</w:t>
      </w:r>
    </w:p>
    <w:p w:rsidR="00386912" w:rsidRPr="00386912" w:rsidRDefault="00386912" w:rsidP="00A66A86">
      <w:pPr>
        <w:rPr>
          <w:color w:val="FFC000"/>
        </w:rPr>
      </w:pPr>
      <w:r w:rsidRPr="00386912">
        <w:rPr>
          <w:color w:val="FFC000"/>
        </w:rPr>
        <w:t>1:1 Teacher groups and boosters- targeted provision for off track pupils with a focus on pre-teaching core concepts.  HIGH COST- HIGH IMPACT</w:t>
      </w:r>
    </w:p>
    <w:p w:rsidR="00386912" w:rsidRPr="00386912" w:rsidRDefault="00386912" w:rsidP="00A66A86">
      <w:pPr>
        <w:rPr>
          <w:color w:val="FFC000"/>
        </w:rPr>
      </w:pPr>
      <w:r w:rsidRPr="00386912">
        <w:rPr>
          <w:color w:val="FFC000"/>
        </w:rPr>
        <w:t>Bespoke SALT and follow-up groups: Children in school are assessed, grouped and targeted with specialist provision and programmes to develop confidence in speech.  HIGH COST- HIGH IMPACT</w:t>
      </w:r>
    </w:p>
    <w:p w:rsidR="00386912" w:rsidRPr="00386912" w:rsidRDefault="00386912" w:rsidP="00A66A86">
      <w:pPr>
        <w:rPr>
          <w:color w:val="FFC000"/>
        </w:rPr>
      </w:pPr>
      <w:proofErr w:type="gramStart"/>
      <w:r w:rsidRPr="00386912">
        <w:rPr>
          <w:color w:val="FFC000"/>
        </w:rPr>
        <w:t>Over- staffing in EYFS and Y1- 2 classes of 20 children in each year group to ensure that teaching groups are small and well differentiated.</w:t>
      </w:r>
      <w:proofErr w:type="gramEnd"/>
      <w:r w:rsidRPr="00386912">
        <w:rPr>
          <w:color w:val="FFC000"/>
        </w:rPr>
        <w:t xml:space="preserve">  Work meet pupils needs and challenges them to make rapid progress.  HIGH COST- HIGH IMPACT</w:t>
      </w:r>
    </w:p>
    <w:p w:rsidR="00386912" w:rsidRPr="00386912" w:rsidRDefault="00386912" w:rsidP="00A66A86">
      <w:pPr>
        <w:rPr>
          <w:color w:val="00B050"/>
        </w:rPr>
      </w:pPr>
      <w:proofErr w:type="spellStart"/>
      <w:proofErr w:type="gramStart"/>
      <w:r w:rsidRPr="00386912">
        <w:rPr>
          <w:color w:val="00B050"/>
        </w:rPr>
        <w:t>Testbase</w:t>
      </w:r>
      <w:proofErr w:type="spellEnd"/>
      <w:r w:rsidRPr="00386912">
        <w:rPr>
          <w:color w:val="00B050"/>
        </w:rPr>
        <w:t>- a resource that allows teachers to access a range of assessment practice materials to help pupils to produce good standards on assessment materials.</w:t>
      </w:r>
      <w:proofErr w:type="gramEnd"/>
      <w:r w:rsidRPr="00386912">
        <w:rPr>
          <w:color w:val="00B050"/>
        </w:rPr>
        <w:t xml:space="preserve">  LOW COST- MEDIUM IMPACT</w:t>
      </w:r>
    </w:p>
    <w:p w:rsidR="00386912" w:rsidRPr="00386912" w:rsidRDefault="00386912" w:rsidP="00A66A86">
      <w:pPr>
        <w:rPr>
          <w:color w:val="FFC000"/>
        </w:rPr>
      </w:pPr>
      <w:r w:rsidRPr="00386912">
        <w:rPr>
          <w:color w:val="FFC000"/>
        </w:rPr>
        <w:t>Breakfast clubs and targeted support- boosts attendance and ensures that children are in school, ready to lear</w:t>
      </w:r>
      <w:r>
        <w:rPr>
          <w:color w:val="FFC000"/>
        </w:rPr>
        <w:t xml:space="preserve">n and calm/settled at key times </w:t>
      </w:r>
      <w:bookmarkStart w:id="0" w:name="_GoBack"/>
      <w:bookmarkEnd w:id="0"/>
      <w:r w:rsidRPr="00386912">
        <w:rPr>
          <w:color w:val="FFC000"/>
        </w:rPr>
        <w:t>of the year.  LOW COST- LOW IMPACT</w:t>
      </w:r>
    </w:p>
    <w:p w:rsidR="00386912" w:rsidRPr="00386912" w:rsidRDefault="00386912" w:rsidP="00A66A86">
      <w:pPr>
        <w:rPr>
          <w:color w:val="FFC000"/>
        </w:rPr>
      </w:pPr>
      <w:r w:rsidRPr="00386912">
        <w:rPr>
          <w:color w:val="FFC000"/>
        </w:rPr>
        <w:t>School visit support- ensures that PP pupils can access a wider range of opportunities. LOW COST- LOW IMPACT</w:t>
      </w:r>
    </w:p>
    <w:p w:rsidR="00386912" w:rsidRPr="00386912" w:rsidRDefault="00386912" w:rsidP="00A66A86">
      <w:pPr>
        <w:rPr>
          <w:color w:val="00B050"/>
        </w:rPr>
      </w:pPr>
      <w:r w:rsidRPr="00386912">
        <w:rPr>
          <w:color w:val="00B050"/>
        </w:rPr>
        <w:t>Jump ahead- a programme to support low level physical and motor skill issues- LOW COST- MEDIUM IMPACT</w:t>
      </w:r>
    </w:p>
    <w:sectPr w:rsidR="00386912" w:rsidRPr="00386912" w:rsidSect="00A66A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463"/>
    <w:multiLevelType w:val="hybridMultilevel"/>
    <w:tmpl w:val="4BD4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56B43"/>
    <w:multiLevelType w:val="hybridMultilevel"/>
    <w:tmpl w:val="8D02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86"/>
    <w:rsid w:val="00000845"/>
    <w:rsid w:val="000016A7"/>
    <w:rsid w:val="00001E7E"/>
    <w:rsid w:val="00002412"/>
    <w:rsid w:val="00003618"/>
    <w:rsid w:val="00010127"/>
    <w:rsid w:val="00011479"/>
    <w:rsid w:val="000207D5"/>
    <w:rsid w:val="00021083"/>
    <w:rsid w:val="00025CF5"/>
    <w:rsid w:val="00026E25"/>
    <w:rsid w:val="000314FC"/>
    <w:rsid w:val="00031B33"/>
    <w:rsid w:val="00032D6C"/>
    <w:rsid w:val="00035055"/>
    <w:rsid w:val="00035386"/>
    <w:rsid w:val="00036A00"/>
    <w:rsid w:val="00037322"/>
    <w:rsid w:val="0004255B"/>
    <w:rsid w:val="00047147"/>
    <w:rsid w:val="00047E32"/>
    <w:rsid w:val="000611EA"/>
    <w:rsid w:val="00062A1E"/>
    <w:rsid w:val="00072D28"/>
    <w:rsid w:val="00080E97"/>
    <w:rsid w:val="00084595"/>
    <w:rsid w:val="00091758"/>
    <w:rsid w:val="00092B81"/>
    <w:rsid w:val="00092DC2"/>
    <w:rsid w:val="00092FC9"/>
    <w:rsid w:val="00095B6E"/>
    <w:rsid w:val="000A2826"/>
    <w:rsid w:val="000A462B"/>
    <w:rsid w:val="000B034F"/>
    <w:rsid w:val="000B1BE7"/>
    <w:rsid w:val="000B583B"/>
    <w:rsid w:val="000B69B6"/>
    <w:rsid w:val="000B6B84"/>
    <w:rsid w:val="000B763B"/>
    <w:rsid w:val="000C0980"/>
    <w:rsid w:val="000C27CF"/>
    <w:rsid w:val="000C57D9"/>
    <w:rsid w:val="000C7AAA"/>
    <w:rsid w:val="000D1A43"/>
    <w:rsid w:val="000D6A68"/>
    <w:rsid w:val="000E020E"/>
    <w:rsid w:val="000E1E00"/>
    <w:rsid w:val="000E49A8"/>
    <w:rsid w:val="000E4DF0"/>
    <w:rsid w:val="000E72F7"/>
    <w:rsid w:val="000F1A1B"/>
    <w:rsid w:val="000F33A6"/>
    <w:rsid w:val="000F7893"/>
    <w:rsid w:val="00100D88"/>
    <w:rsid w:val="0010461C"/>
    <w:rsid w:val="00104881"/>
    <w:rsid w:val="00106C1A"/>
    <w:rsid w:val="00106FE0"/>
    <w:rsid w:val="001070A7"/>
    <w:rsid w:val="001173B6"/>
    <w:rsid w:val="00117F35"/>
    <w:rsid w:val="00123D83"/>
    <w:rsid w:val="00124A64"/>
    <w:rsid w:val="00131D95"/>
    <w:rsid w:val="001322B0"/>
    <w:rsid w:val="00132DED"/>
    <w:rsid w:val="001356E6"/>
    <w:rsid w:val="00141DB2"/>
    <w:rsid w:val="00146E08"/>
    <w:rsid w:val="00151199"/>
    <w:rsid w:val="00154D14"/>
    <w:rsid w:val="0016360D"/>
    <w:rsid w:val="00182513"/>
    <w:rsid w:val="00191287"/>
    <w:rsid w:val="00194304"/>
    <w:rsid w:val="001945F3"/>
    <w:rsid w:val="001958A3"/>
    <w:rsid w:val="00196F35"/>
    <w:rsid w:val="00197D9C"/>
    <w:rsid w:val="001A33F4"/>
    <w:rsid w:val="001A3C8C"/>
    <w:rsid w:val="001B0741"/>
    <w:rsid w:val="001B22DF"/>
    <w:rsid w:val="001B5DA4"/>
    <w:rsid w:val="001B7438"/>
    <w:rsid w:val="001C052F"/>
    <w:rsid w:val="001C1E0C"/>
    <w:rsid w:val="001D493E"/>
    <w:rsid w:val="001E18E0"/>
    <w:rsid w:val="001E19DE"/>
    <w:rsid w:val="001E2E3B"/>
    <w:rsid w:val="001E4016"/>
    <w:rsid w:val="001E40D4"/>
    <w:rsid w:val="001E4FA4"/>
    <w:rsid w:val="001F0D6C"/>
    <w:rsid w:val="001F5F4B"/>
    <w:rsid w:val="001F76C7"/>
    <w:rsid w:val="001F7CBF"/>
    <w:rsid w:val="00205F41"/>
    <w:rsid w:val="00212EEE"/>
    <w:rsid w:val="00213F39"/>
    <w:rsid w:val="00216C82"/>
    <w:rsid w:val="002202E7"/>
    <w:rsid w:val="00220934"/>
    <w:rsid w:val="002215C4"/>
    <w:rsid w:val="00221EE8"/>
    <w:rsid w:val="00222816"/>
    <w:rsid w:val="00223368"/>
    <w:rsid w:val="00223442"/>
    <w:rsid w:val="00224C21"/>
    <w:rsid w:val="00224DFC"/>
    <w:rsid w:val="00226B70"/>
    <w:rsid w:val="00226D5E"/>
    <w:rsid w:val="00226D6D"/>
    <w:rsid w:val="0023451B"/>
    <w:rsid w:val="0023488F"/>
    <w:rsid w:val="00235402"/>
    <w:rsid w:val="00236819"/>
    <w:rsid w:val="002432A5"/>
    <w:rsid w:val="002457E1"/>
    <w:rsid w:val="0024607E"/>
    <w:rsid w:val="00247159"/>
    <w:rsid w:val="002513EF"/>
    <w:rsid w:val="00253A39"/>
    <w:rsid w:val="00257A5E"/>
    <w:rsid w:val="00260A3F"/>
    <w:rsid w:val="002610FC"/>
    <w:rsid w:val="002631C9"/>
    <w:rsid w:val="00263B6E"/>
    <w:rsid w:val="00264EB8"/>
    <w:rsid w:val="0027349A"/>
    <w:rsid w:val="002763BE"/>
    <w:rsid w:val="00277583"/>
    <w:rsid w:val="0028207E"/>
    <w:rsid w:val="00283E14"/>
    <w:rsid w:val="00292874"/>
    <w:rsid w:val="002942D5"/>
    <w:rsid w:val="00296DDD"/>
    <w:rsid w:val="00297079"/>
    <w:rsid w:val="002A09DB"/>
    <w:rsid w:val="002A2242"/>
    <w:rsid w:val="002A6889"/>
    <w:rsid w:val="002B1297"/>
    <w:rsid w:val="002B2C2B"/>
    <w:rsid w:val="002B2C87"/>
    <w:rsid w:val="002B4ECF"/>
    <w:rsid w:val="002B5680"/>
    <w:rsid w:val="002B6B49"/>
    <w:rsid w:val="002C0903"/>
    <w:rsid w:val="002C564F"/>
    <w:rsid w:val="002C59C5"/>
    <w:rsid w:val="002C667B"/>
    <w:rsid w:val="002D4FD3"/>
    <w:rsid w:val="002E5035"/>
    <w:rsid w:val="002E529A"/>
    <w:rsid w:val="002E6AF3"/>
    <w:rsid w:val="002F732F"/>
    <w:rsid w:val="003031FF"/>
    <w:rsid w:val="0030517B"/>
    <w:rsid w:val="00305212"/>
    <w:rsid w:val="00305D77"/>
    <w:rsid w:val="0031327B"/>
    <w:rsid w:val="0032171A"/>
    <w:rsid w:val="003234C2"/>
    <w:rsid w:val="0032460F"/>
    <w:rsid w:val="00343297"/>
    <w:rsid w:val="00343503"/>
    <w:rsid w:val="00345327"/>
    <w:rsid w:val="0035264B"/>
    <w:rsid w:val="003538C8"/>
    <w:rsid w:val="00356C8B"/>
    <w:rsid w:val="00362C72"/>
    <w:rsid w:val="00367262"/>
    <w:rsid w:val="00370A46"/>
    <w:rsid w:val="00372470"/>
    <w:rsid w:val="00376DAF"/>
    <w:rsid w:val="00377915"/>
    <w:rsid w:val="00380049"/>
    <w:rsid w:val="00380B29"/>
    <w:rsid w:val="00386912"/>
    <w:rsid w:val="003966FD"/>
    <w:rsid w:val="00396B39"/>
    <w:rsid w:val="0039705F"/>
    <w:rsid w:val="00397206"/>
    <w:rsid w:val="003973B0"/>
    <w:rsid w:val="003A034D"/>
    <w:rsid w:val="003A17DE"/>
    <w:rsid w:val="003A2884"/>
    <w:rsid w:val="003B2D79"/>
    <w:rsid w:val="003B421D"/>
    <w:rsid w:val="003C0A72"/>
    <w:rsid w:val="003C4068"/>
    <w:rsid w:val="003C5525"/>
    <w:rsid w:val="003D144B"/>
    <w:rsid w:val="003D5084"/>
    <w:rsid w:val="003D52DB"/>
    <w:rsid w:val="003D5E6B"/>
    <w:rsid w:val="003E09E2"/>
    <w:rsid w:val="003E1780"/>
    <w:rsid w:val="003E538F"/>
    <w:rsid w:val="00400094"/>
    <w:rsid w:val="00400A88"/>
    <w:rsid w:val="004045CB"/>
    <w:rsid w:val="0040499A"/>
    <w:rsid w:val="00410B68"/>
    <w:rsid w:val="0041205F"/>
    <w:rsid w:val="0041756C"/>
    <w:rsid w:val="0042184D"/>
    <w:rsid w:val="00431B52"/>
    <w:rsid w:val="00440BB8"/>
    <w:rsid w:val="00442EA9"/>
    <w:rsid w:val="00444111"/>
    <w:rsid w:val="00454D8E"/>
    <w:rsid w:val="00460459"/>
    <w:rsid w:val="00467D2B"/>
    <w:rsid w:val="00472224"/>
    <w:rsid w:val="00472C75"/>
    <w:rsid w:val="00476A6E"/>
    <w:rsid w:val="0048032A"/>
    <w:rsid w:val="00492A24"/>
    <w:rsid w:val="00495E35"/>
    <w:rsid w:val="004974F6"/>
    <w:rsid w:val="004A01CD"/>
    <w:rsid w:val="004C0EC6"/>
    <w:rsid w:val="004C4000"/>
    <w:rsid w:val="004C5F26"/>
    <w:rsid w:val="004D7092"/>
    <w:rsid w:val="004E00D3"/>
    <w:rsid w:val="004E318C"/>
    <w:rsid w:val="004F06F3"/>
    <w:rsid w:val="004F0B77"/>
    <w:rsid w:val="004F0DA9"/>
    <w:rsid w:val="004F348C"/>
    <w:rsid w:val="004F3504"/>
    <w:rsid w:val="004F6B10"/>
    <w:rsid w:val="00501CC0"/>
    <w:rsid w:val="00505535"/>
    <w:rsid w:val="0050692D"/>
    <w:rsid w:val="005112A2"/>
    <w:rsid w:val="00512D9F"/>
    <w:rsid w:val="00515B99"/>
    <w:rsid w:val="00521989"/>
    <w:rsid w:val="00521F03"/>
    <w:rsid w:val="00522D72"/>
    <w:rsid w:val="00524B89"/>
    <w:rsid w:val="005309F4"/>
    <w:rsid w:val="00530B07"/>
    <w:rsid w:val="005404E8"/>
    <w:rsid w:val="00541AEE"/>
    <w:rsid w:val="005432D5"/>
    <w:rsid w:val="00547B7D"/>
    <w:rsid w:val="00547EA6"/>
    <w:rsid w:val="0055523B"/>
    <w:rsid w:val="005601E1"/>
    <w:rsid w:val="00565834"/>
    <w:rsid w:val="00565CA8"/>
    <w:rsid w:val="005664AB"/>
    <w:rsid w:val="005666D7"/>
    <w:rsid w:val="00574025"/>
    <w:rsid w:val="00574475"/>
    <w:rsid w:val="00581BE3"/>
    <w:rsid w:val="00581F29"/>
    <w:rsid w:val="00581FF5"/>
    <w:rsid w:val="005847FA"/>
    <w:rsid w:val="00587DBC"/>
    <w:rsid w:val="00590203"/>
    <w:rsid w:val="005935FA"/>
    <w:rsid w:val="00593B87"/>
    <w:rsid w:val="005A1490"/>
    <w:rsid w:val="005A2A1B"/>
    <w:rsid w:val="005A50F8"/>
    <w:rsid w:val="005A7931"/>
    <w:rsid w:val="005B1786"/>
    <w:rsid w:val="005B6E88"/>
    <w:rsid w:val="005C46DF"/>
    <w:rsid w:val="005D1A4A"/>
    <w:rsid w:val="005D3857"/>
    <w:rsid w:val="005D3A34"/>
    <w:rsid w:val="005E3B2A"/>
    <w:rsid w:val="005F3F6C"/>
    <w:rsid w:val="005F6A4A"/>
    <w:rsid w:val="00602F5D"/>
    <w:rsid w:val="00605097"/>
    <w:rsid w:val="006074F9"/>
    <w:rsid w:val="00610E79"/>
    <w:rsid w:val="00613AB2"/>
    <w:rsid w:val="00614AC4"/>
    <w:rsid w:val="006242B2"/>
    <w:rsid w:val="00633CEF"/>
    <w:rsid w:val="00634B42"/>
    <w:rsid w:val="006350D4"/>
    <w:rsid w:val="00637753"/>
    <w:rsid w:val="00642A26"/>
    <w:rsid w:val="00645611"/>
    <w:rsid w:val="00650F43"/>
    <w:rsid w:val="00652884"/>
    <w:rsid w:val="00653485"/>
    <w:rsid w:val="00653A14"/>
    <w:rsid w:val="00654D95"/>
    <w:rsid w:val="00655EBB"/>
    <w:rsid w:val="00667CDB"/>
    <w:rsid w:val="00670F31"/>
    <w:rsid w:val="00671C45"/>
    <w:rsid w:val="006740E9"/>
    <w:rsid w:val="00674316"/>
    <w:rsid w:val="00676DD2"/>
    <w:rsid w:val="006779FA"/>
    <w:rsid w:val="00683B9B"/>
    <w:rsid w:val="0068545A"/>
    <w:rsid w:val="0068642C"/>
    <w:rsid w:val="0068691C"/>
    <w:rsid w:val="00687A44"/>
    <w:rsid w:val="00691195"/>
    <w:rsid w:val="00694277"/>
    <w:rsid w:val="006A014B"/>
    <w:rsid w:val="006A090C"/>
    <w:rsid w:val="006A2D58"/>
    <w:rsid w:val="006A51FA"/>
    <w:rsid w:val="006B06D0"/>
    <w:rsid w:val="006B16E2"/>
    <w:rsid w:val="006B31B9"/>
    <w:rsid w:val="006B581B"/>
    <w:rsid w:val="006B7914"/>
    <w:rsid w:val="006C3EB3"/>
    <w:rsid w:val="006C6F95"/>
    <w:rsid w:val="006D0CB7"/>
    <w:rsid w:val="006D18CF"/>
    <w:rsid w:val="006D24DD"/>
    <w:rsid w:val="006D2BFC"/>
    <w:rsid w:val="006D4262"/>
    <w:rsid w:val="006D45A0"/>
    <w:rsid w:val="006E6CEC"/>
    <w:rsid w:val="006F04BC"/>
    <w:rsid w:val="006F0FD2"/>
    <w:rsid w:val="006F1738"/>
    <w:rsid w:val="006F2DBA"/>
    <w:rsid w:val="006F431C"/>
    <w:rsid w:val="006F4806"/>
    <w:rsid w:val="006F5544"/>
    <w:rsid w:val="006F6B8F"/>
    <w:rsid w:val="007039FE"/>
    <w:rsid w:val="0071026C"/>
    <w:rsid w:val="00711643"/>
    <w:rsid w:val="00711826"/>
    <w:rsid w:val="007137D5"/>
    <w:rsid w:val="00717A8F"/>
    <w:rsid w:val="00720818"/>
    <w:rsid w:val="007349DB"/>
    <w:rsid w:val="00737638"/>
    <w:rsid w:val="00741613"/>
    <w:rsid w:val="0074173E"/>
    <w:rsid w:val="007423A7"/>
    <w:rsid w:val="00742476"/>
    <w:rsid w:val="00751427"/>
    <w:rsid w:val="00751894"/>
    <w:rsid w:val="0076172E"/>
    <w:rsid w:val="00764898"/>
    <w:rsid w:val="007666BC"/>
    <w:rsid w:val="007669FB"/>
    <w:rsid w:val="00777678"/>
    <w:rsid w:val="00781049"/>
    <w:rsid w:val="007815FA"/>
    <w:rsid w:val="00781BFD"/>
    <w:rsid w:val="00785F40"/>
    <w:rsid w:val="00794542"/>
    <w:rsid w:val="00794BED"/>
    <w:rsid w:val="007A098C"/>
    <w:rsid w:val="007A1CF7"/>
    <w:rsid w:val="007A6485"/>
    <w:rsid w:val="007A67EE"/>
    <w:rsid w:val="007B12F0"/>
    <w:rsid w:val="007B57EA"/>
    <w:rsid w:val="007B6BF0"/>
    <w:rsid w:val="007C0367"/>
    <w:rsid w:val="007C4B01"/>
    <w:rsid w:val="007C7EC3"/>
    <w:rsid w:val="007D0A2E"/>
    <w:rsid w:val="007D58DF"/>
    <w:rsid w:val="007D7D05"/>
    <w:rsid w:val="007E0778"/>
    <w:rsid w:val="007E1754"/>
    <w:rsid w:val="007E3DEE"/>
    <w:rsid w:val="007E45B7"/>
    <w:rsid w:val="007E5507"/>
    <w:rsid w:val="007E76CA"/>
    <w:rsid w:val="007F0936"/>
    <w:rsid w:val="007F2051"/>
    <w:rsid w:val="007F25EB"/>
    <w:rsid w:val="007F6EAB"/>
    <w:rsid w:val="008005D6"/>
    <w:rsid w:val="00802BAD"/>
    <w:rsid w:val="00802CE8"/>
    <w:rsid w:val="00803D81"/>
    <w:rsid w:val="00806439"/>
    <w:rsid w:val="00807864"/>
    <w:rsid w:val="00807A2B"/>
    <w:rsid w:val="0081444C"/>
    <w:rsid w:val="00816AD7"/>
    <w:rsid w:val="008224FB"/>
    <w:rsid w:val="00826F42"/>
    <w:rsid w:val="008312A4"/>
    <w:rsid w:val="0083184B"/>
    <w:rsid w:val="0083324A"/>
    <w:rsid w:val="00843FEC"/>
    <w:rsid w:val="00847791"/>
    <w:rsid w:val="00850F47"/>
    <w:rsid w:val="00853934"/>
    <w:rsid w:val="00853B0F"/>
    <w:rsid w:val="00860E9C"/>
    <w:rsid w:val="0086237D"/>
    <w:rsid w:val="00880D4A"/>
    <w:rsid w:val="008835C9"/>
    <w:rsid w:val="00886269"/>
    <w:rsid w:val="008870C4"/>
    <w:rsid w:val="00891321"/>
    <w:rsid w:val="0089315C"/>
    <w:rsid w:val="00893E91"/>
    <w:rsid w:val="00894117"/>
    <w:rsid w:val="008967B0"/>
    <w:rsid w:val="008A331B"/>
    <w:rsid w:val="008C29D7"/>
    <w:rsid w:val="008D01E6"/>
    <w:rsid w:val="008D1117"/>
    <w:rsid w:val="008D1A5E"/>
    <w:rsid w:val="008D6F6D"/>
    <w:rsid w:val="008E2913"/>
    <w:rsid w:val="008E4DBF"/>
    <w:rsid w:val="008E62F7"/>
    <w:rsid w:val="008F01CF"/>
    <w:rsid w:val="008F055B"/>
    <w:rsid w:val="008F445D"/>
    <w:rsid w:val="008F502B"/>
    <w:rsid w:val="008F62BD"/>
    <w:rsid w:val="0090076D"/>
    <w:rsid w:val="00901AB9"/>
    <w:rsid w:val="00906747"/>
    <w:rsid w:val="0091143A"/>
    <w:rsid w:val="009139C4"/>
    <w:rsid w:val="009145E6"/>
    <w:rsid w:val="00915B26"/>
    <w:rsid w:val="00915C69"/>
    <w:rsid w:val="009220D8"/>
    <w:rsid w:val="0092214F"/>
    <w:rsid w:val="00923694"/>
    <w:rsid w:val="009238E9"/>
    <w:rsid w:val="00923D55"/>
    <w:rsid w:val="00924034"/>
    <w:rsid w:val="0092686E"/>
    <w:rsid w:val="00930436"/>
    <w:rsid w:val="009429C7"/>
    <w:rsid w:val="009522AE"/>
    <w:rsid w:val="00955926"/>
    <w:rsid w:val="00956891"/>
    <w:rsid w:val="00956D5A"/>
    <w:rsid w:val="00961D34"/>
    <w:rsid w:val="00965171"/>
    <w:rsid w:val="009712F5"/>
    <w:rsid w:val="0097221B"/>
    <w:rsid w:val="009722AF"/>
    <w:rsid w:val="00973091"/>
    <w:rsid w:val="009754D9"/>
    <w:rsid w:val="009762A1"/>
    <w:rsid w:val="009772D2"/>
    <w:rsid w:val="00983171"/>
    <w:rsid w:val="00992416"/>
    <w:rsid w:val="009927BE"/>
    <w:rsid w:val="00993D54"/>
    <w:rsid w:val="00997372"/>
    <w:rsid w:val="009A387F"/>
    <w:rsid w:val="009A471A"/>
    <w:rsid w:val="009B26CB"/>
    <w:rsid w:val="009B4B84"/>
    <w:rsid w:val="009B5032"/>
    <w:rsid w:val="009B5802"/>
    <w:rsid w:val="009B670C"/>
    <w:rsid w:val="009C2287"/>
    <w:rsid w:val="009C603A"/>
    <w:rsid w:val="009D51D3"/>
    <w:rsid w:val="009D597B"/>
    <w:rsid w:val="009E3C98"/>
    <w:rsid w:val="009E5AB8"/>
    <w:rsid w:val="009E7237"/>
    <w:rsid w:val="009F2074"/>
    <w:rsid w:val="009F2837"/>
    <w:rsid w:val="009F2A1A"/>
    <w:rsid w:val="009F565D"/>
    <w:rsid w:val="009F7E7A"/>
    <w:rsid w:val="00A037FD"/>
    <w:rsid w:val="00A05BC9"/>
    <w:rsid w:val="00A05BE0"/>
    <w:rsid w:val="00A1013B"/>
    <w:rsid w:val="00A10F56"/>
    <w:rsid w:val="00A121D7"/>
    <w:rsid w:val="00A13289"/>
    <w:rsid w:val="00A13A0F"/>
    <w:rsid w:val="00A1535B"/>
    <w:rsid w:val="00A23757"/>
    <w:rsid w:val="00A337E8"/>
    <w:rsid w:val="00A34BBB"/>
    <w:rsid w:val="00A354C3"/>
    <w:rsid w:val="00A36278"/>
    <w:rsid w:val="00A4143E"/>
    <w:rsid w:val="00A42675"/>
    <w:rsid w:val="00A42A34"/>
    <w:rsid w:val="00A4741E"/>
    <w:rsid w:val="00A478F2"/>
    <w:rsid w:val="00A53661"/>
    <w:rsid w:val="00A5477E"/>
    <w:rsid w:val="00A5515E"/>
    <w:rsid w:val="00A63384"/>
    <w:rsid w:val="00A65DDA"/>
    <w:rsid w:val="00A66A86"/>
    <w:rsid w:val="00A70438"/>
    <w:rsid w:val="00A70B49"/>
    <w:rsid w:val="00A745E8"/>
    <w:rsid w:val="00A809F8"/>
    <w:rsid w:val="00A81117"/>
    <w:rsid w:val="00A84E39"/>
    <w:rsid w:val="00A9089E"/>
    <w:rsid w:val="00A928EE"/>
    <w:rsid w:val="00A96EF8"/>
    <w:rsid w:val="00AA2158"/>
    <w:rsid w:val="00AA2738"/>
    <w:rsid w:val="00AA4E1F"/>
    <w:rsid w:val="00AA50FF"/>
    <w:rsid w:val="00AA5444"/>
    <w:rsid w:val="00AA58B3"/>
    <w:rsid w:val="00AA58F2"/>
    <w:rsid w:val="00AA6FE0"/>
    <w:rsid w:val="00AA7D5E"/>
    <w:rsid w:val="00AA7D9C"/>
    <w:rsid w:val="00AB213A"/>
    <w:rsid w:val="00AB2FAE"/>
    <w:rsid w:val="00AB7E9C"/>
    <w:rsid w:val="00AD09B9"/>
    <w:rsid w:val="00AD2B53"/>
    <w:rsid w:val="00AD34BE"/>
    <w:rsid w:val="00AD52D8"/>
    <w:rsid w:val="00AD7085"/>
    <w:rsid w:val="00AE030C"/>
    <w:rsid w:val="00AF5467"/>
    <w:rsid w:val="00AF57A7"/>
    <w:rsid w:val="00AF59CF"/>
    <w:rsid w:val="00B041F9"/>
    <w:rsid w:val="00B0783E"/>
    <w:rsid w:val="00B07DE1"/>
    <w:rsid w:val="00B17733"/>
    <w:rsid w:val="00B25DF8"/>
    <w:rsid w:val="00B260B8"/>
    <w:rsid w:val="00B33604"/>
    <w:rsid w:val="00B34A0C"/>
    <w:rsid w:val="00B36B27"/>
    <w:rsid w:val="00B403C6"/>
    <w:rsid w:val="00B41363"/>
    <w:rsid w:val="00B43657"/>
    <w:rsid w:val="00B4755C"/>
    <w:rsid w:val="00B50217"/>
    <w:rsid w:val="00B524F0"/>
    <w:rsid w:val="00B5570E"/>
    <w:rsid w:val="00B62DDB"/>
    <w:rsid w:val="00B63126"/>
    <w:rsid w:val="00B63A4C"/>
    <w:rsid w:val="00B65948"/>
    <w:rsid w:val="00B65BCA"/>
    <w:rsid w:val="00B70D06"/>
    <w:rsid w:val="00B731F2"/>
    <w:rsid w:val="00B736AE"/>
    <w:rsid w:val="00B76AB3"/>
    <w:rsid w:val="00B8021F"/>
    <w:rsid w:val="00B8547C"/>
    <w:rsid w:val="00B85DA6"/>
    <w:rsid w:val="00B8796D"/>
    <w:rsid w:val="00B9141C"/>
    <w:rsid w:val="00B93F18"/>
    <w:rsid w:val="00B96D2E"/>
    <w:rsid w:val="00BA13E7"/>
    <w:rsid w:val="00BA32C0"/>
    <w:rsid w:val="00BA3499"/>
    <w:rsid w:val="00BA767F"/>
    <w:rsid w:val="00BB29AA"/>
    <w:rsid w:val="00BB63A1"/>
    <w:rsid w:val="00BC1492"/>
    <w:rsid w:val="00BC6D0E"/>
    <w:rsid w:val="00BD0824"/>
    <w:rsid w:val="00BD1255"/>
    <w:rsid w:val="00BE2185"/>
    <w:rsid w:val="00BE3017"/>
    <w:rsid w:val="00BE40A0"/>
    <w:rsid w:val="00BE456A"/>
    <w:rsid w:val="00BE4EBB"/>
    <w:rsid w:val="00BE68F1"/>
    <w:rsid w:val="00BE6D2C"/>
    <w:rsid w:val="00BF2FC9"/>
    <w:rsid w:val="00BF3A40"/>
    <w:rsid w:val="00BF5563"/>
    <w:rsid w:val="00C010A9"/>
    <w:rsid w:val="00C0246B"/>
    <w:rsid w:val="00C03AEC"/>
    <w:rsid w:val="00C05BCE"/>
    <w:rsid w:val="00C06DE6"/>
    <w:rsid w:val="00C10009"/>
    <w:rsid w:val="00C100AA"/>
    <w:rsid w:val="00C13441"/>
    <w:rsid w:val="00C16068"/>
    <w:rsid w:val="00C167DF"/>
    <w:rsid w:val="00C1772B"/>
    <w:rsid w:val="00C214FE"/>
    <w:rsid w:val="00C24FC9"/>
    <w:rsid w:val="00C25294"/>
    <w:rsid w:val="00C2579F"/>
    <w:rsid w:val="00C26B52"/>
    <w:rsid w:val="00C315BF"/>
    <w:rsid w:val="00C319DA"/>
    <w:rsid w:val="00C33028"/>
    <w:rsid w:val="00C40571"/>
    <w:rsid w:val="00C41303"/>
    <w:rsid w:val="00C42B6B"/>
    <w:rsid w:val="00C43C67"/>
    <w:rsid w:val="00C448AC"/>
    <w:rsid w:val="00C54CD7"/>
    <w:rsid w:val="00C572D8"/>
    <w:rsid w:val="00C625AF"/>
    <w:rsid w:val="00C70516"/>
    <w:rsid w:val="00C70AC3"/>
    <w:rsid w:val="00C762E3"/>
    <w:rsid w:val="00C76545"/>
    <w:rsid w:val="00C80BCC"/>
    <w:rsid w:val="00C81250"/>
    <w:rsid w:val="00C871EA"/>
    <w:rsid w:val="00C90FA0"/>
    <w:rsid w:val="00C93F77"/>
    <w:rsid w:val="00C9451D"/>
    <w:rsid w:val="00C94894"/>
    <w:rsid w:val="00CA426B"/>
    <w:rsid w:val="00CA5F30"/>
    <w:rsid w:val="00CA6545"/>
    <w:rsid w:val="00CB07FD"/>
    <w:rsid w:val="00CB435B"/>
    <w:rsid w:val="00CB4539"/>
    <w:rsid w:val="00CB7B30"/>
    <w:rsid w:val="00CC5851"/>
    <w:rsid w:val="00CC65A2"/>
    <w:rsid w:val="00CC67DA"/>
    <w:rsid w:val="00CC7868"/>
    <w:rsid w:val="00CD3709"/>
    <w:rsid w:val="00CD3F4F"/>
    <w:rsid w:val="00CD6A7E"/>
    <w:rsid w:val="00CD7AF3"/>
    <w:rsid w:val="00CD7B96"/>
    <w:rsid w:val="00CF4692"/>
    <w:rsid w:val="00CF7418"/>
    <w:rsid w:val="00D01115"/>
    <w:rsid w:val="00D0513F"/>
    <w:rsid w:val="00D10A68"/>
    <w:rsid w:val="00D13003"/>
    <w:rsid w:val="00D1398F"/>
    <w:rsid w:val="00D144DC"/>
    <w:rsid w:val="00D15EBD"/>
    <w:rsid w:val="00D206EF"/>
    <w:rsid w:val="00D20D13"/>
    <w:rsid w:val="00D20F37"/>
    <w:rsid w:val="00D21D88"/>
    <w:rsid w:val="00D22C6E"/>
    <w:rsid w:val="00D254E7"/>
    <w:rsid w:val="00D26E42"/>
    <w:rsid w:val="00D344C8"/>
    <w:rsid w:val="00D4018F"/>
    <w:rsid w:val="00D40C03"/>
    <w:rsid w:val="00D4429D"/>
    <w:rsid w:val="00D4563F"/>
    <w:rsid w:val="00D47624"/>
    <w:rsid w:val="00D5095A"/>
    <w:rsid w:val="00D52EAF"/>
    <w:rsid w:val="00D556A5"/>
    <w:rsid w:val="00D60E51"/>
    <w:rsid w:val="00D618A7"/>
    <w:rsid w:val="00D632DC"/>
    <w:rsid w:val="00D67262"/>
    <w:rsid w:val="00D67CA1"/>
    <w:rsid w:val="00D77B98"/>
    <w:rsid w:val="00D83683"/>
    <w:rsid w:val="00D8758A"/>
    <w:rsid w:val="00D92D12"/>
    <w:rsid w:val="00D93732"/>
    <w:rsid w:val="00DA0A68"/>
    <w:rsid w:val="00DA1228"/>
    <w:rsid w:val="00DA478B"/>
    <w:rsid w:val="00DA4A26"/>
    <w:rsid w:val="00DA70ED"/>
    <w:rsid w:val="00DB2826"/>
    <w:rsid w:val="00DB36B8"/>
    <w:rsid w:val="00DB4D38"/>
    <w:rsid w:val="00DB5C42"/>
    <w:rsid w:val="00DB5C7B"/>
    <w:rsid w:val="00DD2881"/>
    <w:rsid w:val="00DD290B"/>
    <w:rsid w:val="00DE0BCE"/>
    <w:rsid w:val="00DE0EE7"/>
    <w:rsid w:val="00DE10C0"/>
    <w:rsid w:val="00DE2A2D"/>
    <w:rsid w:val="00DE45F7"/>
    <w:rsid w:val="00DF1B08"/>
    <w:rsid w:val="00DF3500"/>
    <w:rsid w:val="00DF4FA9"/>
    <w:rsid w:val="00E0063B"/>
    <w:rsid w:val="00E13E0B"/>
    <w:rsid w:val="00E205CF"/>
    <w:rsid w:val="00E23905"/>
    <w:rsid w:val="00E268F3"/>
    <w:rsid w:val="00E302A5"/>
    <w:rsid w:val="00E34801"/>
    <w:rsid w:val="00E35F51"/>
    <w:rsid w:val="00E363D7"/>
    <w:rsid w:val="00E36E2B"/>
    <w:rsid w:val="00E37CB9"/>
    <w:rsid w:val="00E535CD"/>
    <w:rsid w:val="00E55641"/>
    <w:rsid w:val="00E57503"/>
    <w:rsid w:val="00E7093D"/>
    <w:rsid w:val="00E743C5"/>
    <w:rsid w:val="00E76AB3"/>
    <w:rsid w:val="00E823C6"/>
    <w:rsid w:val="00E84EC6"/>
    <w:rsid w:val="00E86DEC"/>
    <w:rsid w:val="00E92B13"/>
    <w:rsid w:val="00E94FDD"/>
    <w:rsid w:val="00E960F1"/>
    <w:rsid w:val="00E967DB"/>
    <w:rsid w:val="00E9711F"/>
    <w:rsid w:val="00EA13A1"/>
    <w:rsid w:val="00EA23A0"/>
    <w:rsid w:val="00EA3594"/>
    <w:rsid w:val="00EA5A30"/>
    <w:rsid w:val="00EA7450"/>
    <w:rsid w:val="00EB3589"/>
    <w:rsid w:val="00EB4570"/>
    <w:rsid w:val="00ED0424"/>
    <w:rsid w:val="00ED36E5"/>
    <w:rsid w:val="00ED3B65"/>
    <w:rsid w:val="00EE3D41"/>
    <w:rsid w:val="00EE4C0F"/>
    <w:rsid w:val="00EE50A4"/>
    <w:rsid w:val="00EE54F0"/>
    <w:rsid w:val="00EE600D"/>
    <w:rsid w:val="00EF3F8D"/>
    <w:rsid w:val="00EF6066"/>
    <w:rsid w:val="00EF6FBC"/>
    <w:rsid w:val="00EF76EC"/>
    <w:rsid w:val="00F012E3"/>
    <w:rsid w:val="00F04A2D"/>
    <w:rsid w:val="00F0574C"/>
    <w:rsid w:val="00F16A3F"/>
    <w:rsid w:val="00F16EAF"/>
    <w:rsid w:val="00F20BEE"/>
    <w:rsid w:val="00F21A6F"/>
    <w:rsid w:val="00F22F54"/>
    <w:rsid w:val="00F25B06"/>
    <w:rsid w:val="00F329F5"/>
    <w:rsid w:val="00F36599"/>
    <w:rsid w:val="00F37BD4"/>
    <w:rsid w:val="00F40CAF"/>
    <w:rsid w:val="00F454FA"/>
    <w:rsid w:val="00F51429"/>
    <w:rsid w:val="00F52474"/>
    <w:rsid w:val="00F557B9"/>
    <w:rsid w:val="00F6045C"/>
    <w:rsid w:val="00F6329C"/>
    <w:rsid w:val="00F65B69"/>
    <w:rsid w:val="00F662A9"/>
    <w:rsid w:val="00F73694"/>
    <w:rsid w:val="00F73FE8"/>
    <w:rsid w:val="00F74BD7"/>
    <w:rsid w:val="00F75575"/>
    <w:rsid w:val="00F769BA"/>
    <w:rsid w:val="00F77997"/>
    <w:rsid w:val="00F8033A"/>
    <w:rsid w:val="00F8033B"/>
    <w:rsid w:val="00F8576D"/>
    <w:rsid w:val="00F85FDF"/>
    <w:rsid w:val="00FA1240"/>
    <w:rsid w:val="00FA125C"/>
    <w:rsid w:val="00FA5685"/>
    <w:rsid w:val="00FA594D"/>
    <w:rsid w:val="00FA68FD"/>
    <w:rsid w:val="00FA742B"/>
    <w:rsid w:val="00FA7E69"/>
    <w:rsid w:val="00FB1EBC"/>
    <w:rsid w:val="00FB2BCC"/>
    <w:rsid w:val="00FB5AE3"/>
    <w:rsid w:val="00FB5E35"/>
    <w:rsid w:val="00FC2F0D"/>
    <w:rsid w:val="00FC3370"/>
    <w:rsid w:val="00FC5604"/>
    <w:rsid w:val="00FD4485"/>
    <w:rsid w:val="00FE0D72"/>
    <w:rsid w:val="00FE1845"/>
    <w:rsid w:val="00FE1A58"/>
    <w:rsid w:val="00FE6A3E"/>
    <w:rsid w:val="00FE75BA"/>
    <w:rsid w:val="00FF03D6"/>
    <w:rsid w:val="00FF1525"/>
    <w:rsid w:val="00FF613B"/>
    <w:rsid w:val="00FF6C7F"/>
    <w:rsid w:val="00FF7090"/>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86"/>
    <w:pPr>
      <w:ind w:left="720"/>
      <w:contextualSpacing/>
    </w:pPr>
  </w:style>
  <w:style w:type="table" w:styleId="TableGrid">
    <w:name w:val="Table Grid"/>
    <w:basedOn w:val="TableNormal"/>
    <w:uiPriority w:val="59"/>
    <w:rsid w:val="00E9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86"/>
    <w:pPr>
      <w:ind w:left="720"/>
      <w:contextualSpacing/>
    </w:pPr>
  </w:style>
  <w:style w:type="table" w:styleId="TableGrid">
    <w:name w:val="Table Grid"/>
    <w:basedOn w:val="TableNormal"/>
    <w:uiPriority w:val="59"/>
    <w:rsid w:val="00E9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McClure (1)</dc:creator>
  <cp:lastModifiedBy>L McClure</cp:lastModifiedBy>
  <cp:revision>2</cp:revision>
  <cp:lastPrinted>2015-04-29T09:12:00Z</cp:lastPrinted>
  <dcterms:created xsi:type="dcterms:W3CDTF">2016-04-24T22:16:00Z</dcterms:created>
  <dcterms:modified xsi:type="dcterms:W3CDTF">2016-04-24T22:16:00Z</dcterms:modified>
</cp:coreProperties>
</file>